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2"/>
          <w:szCs w:val="22"/>
        </w:rPr>
        <w:t xml:space="preserve">Rounds Codex</w:t>
      </w:r>
    </w:p>
    <w:p>
      <w:pPr>
        <w:spacing w:after="60"/>
      </w:pPr>
      <w:r>
        <w:rPr>
          <w:b/>
          <w:bCs/>
          <w:color w:val="1F3864"/>
          <w:sz w:val="34"/>
          <w:szCs w:val="34"/>
        </w:rPr>
        <w:t xml:space="preserve">Leader-line corrections — CORRECTED WORK ORDER, tranche 1</w:t>
      </w:r>
    </w:p>
    <w:p>
      <w:pPr>
        <w:spacing w:after="140"/>
      </w:pPr>
      <w:r>
        <w:rPr>
          <w:i/>
          <w:iCs/>
          <w:color w:val="595959"/>
          <w:sz w:val="19"/>
          <w:szCs w:val="19"/>
        </w:rPr>
        <w:t xml:space="preserve">19 pages measured against the shipped artwork · 10 August 2026</w:t>
      </w:r>
    </w:p>
    <w:p>
      <w:pPr>
        <w:spacing w:after="120"/>
      </w:pPr>
      <w:r>
        <w:rPr>
          <w:sz w:val="21"/>
          <w:szCs w:val="21"/>
        </w:rPr>
        <w:t xml:space="preserve">This supersedes the corresponding pages of Rounds-Codex-leader-line-production-order.docx. Every coordinate here was taken from the shipped page at 6× magnification or better; ordering claims at 11× or better, on a crop containing the whole series. Where this document and the original order differ, this one is correct.</w:t>
      </w:r>
    </w:p>
    <w:p>
      <w:pPr>
        <w:spacing w:after="200"/>
      </w:pPr>
      <w:r>
        <w:rPr>
          <w:sz w:val="21"/>
          <w:szCs w:val="21"/>
        </w:rPr>
        <w:t xml:space="preserve">Two things it deliberately does not do. It does not re-adjudicate the auditors' findings — where we could not reproduce a row we say so and ask you to check, rather than withdrawing it. And it does not cover the remaining 62 pages of the order, which are still stated at the auditors' coordinates and have not been measured. Further tranches will follow by gallery.</w:t>
      </w:r>
    </w:p>
    <w:p>
      <w:pPr>
        <w:pStyle w:val="Heading1"/>
        <w:spacing w:after="130" w:before="260"/>
      </w:pPr>
      <w:r>
        <w:rPr>
          <w:b/>
          <w:bCs/>
          <w:color w:val="1F3864"/>
        </w:rPr>
        <w:t xml:space="preserve">A · Pages already corrected in the live app — re-render still wanted</w:t>
      </w:r>
    </w:p>
    <w:p>
      <w:pPr>
        <w:spacing w:after="130"/>
      </w:pPr>
      <w:r>
        <w:rPr>
          <w:sz w:val="21"/>
          <w:szCs w:val="21"/>
        </w:rPr>
        <w:t xml:space="preserve">These are stopgaps made on the flattened page: a leader shortened, extended or re-routed, and the artwork underneath cloned back. They are live so that readers are not being taught the wrong structure meanwhile. A re-render from source is still better, and these pages should stay in your batch.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00"/>
        <w:gridCol w:w="3200"/>
      </w:tblGrid>
      <w:t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Gallery / page</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Was</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Now</w:t>
            </w:r>
          </w:p>
        </w:tc>
      </w:tr>
      <w:tr>
        <w:tc>
          <w:tcPr>
            <w:tcW w:type="dxa" w:w="1500"/>
            <w:tcMar>
              <w:top w:type="dxa" w:w="70"/>
              <w:left w:type="dxa" w:w="110"/>
              <w:bottom w:type="dxa" w:w="70"/>
              <w:right w:type="dxa" w:w="110"/>
            </w:tcMar>
          </w:tcPr>
          <w:p>
            <w:pPr>
              <w:spacing w:after="0"/>
            </w:pPr>
            <w:r>
              <w:rPr>
                <w:b/>
                <w:bCs/>
                <w:sz w:val="19"/>
                <w:szCs w:val="19"/>
              </w:rPr>
              <w:t xml:space="preserve">addisons p1</w:t>
            </w:r>
          </w:p>
        </w:tc>
        <w:tc>
          <w:tcPr>
            <w:tcW w:type="dxa" w:w="2100"/>
            <w:tcMar>
              <w:top w:type="dxa" w:w="70"/>
              <w:left w:type="dxa" w:w="110"/>
              <w:bottom w:type="dxa" w:w="70"/>
              <w:right w:type="dxa" w:w="110"/>
            </w:tcMar>
          </w:tcPr>
          <w:p>
            <w:pPr>
              <w:spacing w:after="0"/>
            </w:pPr>
            <w:r>
              <w:rPr>
                <w:b w:val="false"/>
                <w:bCs w:val="false"/>
                <w:sz w:val="19"/>
                <w:szCs w:val="19"/>
              </w:rPr>
              <w:t xml:space="preserve">Cortex</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inside the medulla, 7 px past the boundary</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shortened to the orange band, t 6.5–16.5</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addisons p2</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Zona Fasciculata</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on the gland's central hilum</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mid orange band, (646,286)</w:t>
            </w:r>
          </w:p>
        </w:tc>
      </w:tr>
      <w:tr>
        <w:tc>
          <w:tcPr>
            <w:tcW w:type="dxa" w:w="1500"/>
            <w:tcMar>
              <w:top w:type="dxa" w:w="70"/>
              <w:left w:type="dxa" w:w="110"/>
              <w:bottom w:type="dxa" w:w="70"/>
              <w:right w:type="dxa" w:w="110"/>
            </w:tcMar>
          </w:tcPr>
          <w:p>
            <w:pPr>
              <w:spacing w:after="0"/>
            </w:pPr>
            <w:r>
              <w:rPr>
                <w:b/>
                <w:bCs/>
                <w:sz w:val="19"/>
                <w:szCs w:val="19"/>
              </w:rPr>
              <w:t xml:space="preserve">addisons p2</w:t>
            </w:r>
          </w:p>
        </w:tc>
        <w:tc>
          <w:tcPr>
            <w:tcW w:type="dxa" w:w="2100"/>
            <w:tcMar>
              <w:top w:type="dxa" w:w="70"/>
              <w:left w:type="dxa" w:w="110"/>
              <w:bottom w:type="dxa" w:w="70"/>
              <w:right w:type="dxa" w:w="110"/>
            </w:tcMar>
          </w:tcPr>
          <w:p>
            <w:pPr>
              <w:spacing w:after="0"/>
            </w:pPr>
            <w:r>
              <w:rPr>
                <w:b w:val="false"/>
                <w:bCs w:val="false"/>
                <w:sz w:val="19"/>
                <w:szCs w:val="19"/>
              </w:rPr>
              <w:t xml:space="preserve">Zona Reticularis</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inside the medulla</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band inner edge, (648,314)</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bronchiolitis p7</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Minimal mucus</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adventitia, outside the airway</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epithelium/lumen interface, (643,450)</w:t>
            </w:r>
          </w:p>
        </w:tc>
      </w:tr>
      <w:tr>
        <w:tc>
          <w:tcPr>
            <w:tcW w:type="dxa" w:w="1500"/>
            <w:tcMar>
              <w:top w:type="dxa" w:w="70"/>
              <w:left w:type="dxa" w:w="110"/>
              <w:bottom w:type="dxa" w:w="70"/>
              <w:right w:type="dxa" w:w="110"/>
            </w:tcMar>
          </w:tcPr>
          <w:p>
            <w:pPr>
              <w:spacing w:after="0"/>
            </w:pPr>
            <w:r>
              <w:rPr>
                <w:b/>
                <w:bCs/>
                <w:sz w:val="19"/>
                <w:szCs w:val="19"/>
              </w:rPr>
              <w:t xml:space="preserve">pancreatitis p2</w:t>
            </w:r>
          </w:p>
        </w:tc>
        <w:tc>
          <w:tcPr>
            <w:tcW w:type="dxa" w:w="2100"/>
            <w:tcMar>
              <w:top w:type="dxa" w:w="70"/>
              <w:left w:type="dxa" w:w="110"/>
              <w:bottom w:type="dxa" w:w="70"/>
              <w:right w:type="dxa" w:w="110"/>
            </w:tcMar>
          </w:tcPr>
          <w:p>
            <w:pPr>
              <w:spacing w:after="0"/>
            </w:pPr>
            <w:r>
              <w:rPr>
                <w:b w:val="false"/>
                <w:bCs w:val="false"/>
                <w:sz w:val="19"/>
                <w:szCs w:val="19"/>
              </w:rPr>
              <w:t xml:space="preserve">Celiac trunk</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blue vein, (499,353)</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celiac trunk stub, (563,377)</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pud p2</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Pylorus</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duodenal bulb, 120 px distal</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pyloric collar, (370,455)</w:t>
            </w:r>
          </w:p>
        </w:tc>
      </w:tr>
      <w:tr>
        <w:tc>
          <w:tcPr>
            <w:tcW w:type="dxa" w:w="1500"/>
            <w:tcMar>
              <w:top w:type="dxa" w:w="70"/>
              <w:left w:type="dxa" w:w="110"/>
              <w:bottom w:type="dxa" w:w="70"/>
              <w:right w:type="dxa" w:w="110"/>
            </w:tcMar>
          </w:tcPr>
          <w:p>
            <w:pPr>
              <w:spacing w:after="0"/>
            </w:pPr>
            <w:r>
              <w:rPr>
                <w:b/>
                <w:bCs/>
                <w:sz w:val="19"/>
                <w:szCs w:val="19"/>
              </w:rPr>
              <w:t xml:space="preserve">bowel-obstruction p2</w:t>
            </w:r>
          </w:p>
        </w:tc>
        <w:tc>
          <w:tcPr>
            <w:tcW w:type="dxa" w:w="2100"/>
            <w:tcMar>
              <w:top w:type="dxa" w:w="70"/>
              <w:left w:type="dxa" w:w="110"/>
              <w:bottom w:type="dxa" w:w="70"/>
              <w:right w:type="dxa" w:w="110"/>
            </w:tcMar>
          </w:tcPr>
          <w:p>
            <w:pPr>
              <w:spacing w:after="0"/>
            </w:pPr>
            <w:r>
              <w:rPr>
                <w:b w:val="false"/>
                <w:bCs w:val="false"/>
                <w:sz w:val="19"/>
                <w:szCs w:val="19"/>
              </w:rPr>
              <w:t xml:space="preserve">Villi</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outer striated bands, r=68</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a mucosal projection, r=47</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chf p1</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Left Ventricular Dysfunction</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left atrial appendage</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LV free wall, (768,730)</w:t>
            </w:r>
          </w:p>
        </w:tc>
      </w:tr>
      <w:tr>
        <w:tc>
          <w:tcPr>
            <w:tcW w:type="dxa" w:w="1500"/>
            <w:tcMar>
              <w:top w:type="dxa" w:w="70"/>
              <w:left w:type="dxa" w:w="110"/>
              <w:bottom w:type="dxa" w:w="70"/>
              <w:right w:type="dxa" w:w="110"/>
            </w:tcMar>
          </w:tcPr>
          <w:p>
            <w:pPr>
              <w:spacing w:after="0"/>
            </w:pPr>
            <w:r>
              <w:rPr>
                <w:b/>
                <w:bCs/>
                <w:sz w:val="19"/>
                <w:szCs w:val="19"/>
              </w:rPr>
              <w:t xml:space="preserve">pericarditis p1</w:t>
            </w:r>
          </w:p>
        </w:tc>
        <w:tc>
          <w:tcPr>
            <w:tcW w:type="dxa" w:w="2100"/>
            <w:tcMar>
              <w:top w:type="dxa" w:w="70"/>
              <w:left w:type="dxa" w:w="110"/>
              <w:bottom w:type="dxa" w:w="70"/>
              <w:right w:type="dxa" w:w="110"/>
            </w:tcMar>
          </w:tcPr>
          <w:p>
            <w:pPr>
              <w:spacing w:after="0"/>
            </w:pPr>
            <w:r>
              <w:rPr>
                <w:b w:val="false"/>
                <w:bCs w:val="false"/>
                <w:sz w:val="19"/>
                <w:szCs w:val="19"/>
              </w:rPr>
              <w:t xml:space="preserve">Fibrous Pericardium</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empty background</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fibrous layer, (730,784)</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pericarditis p3</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Visceral pericardium</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outboard of the cavity</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epicardial streak, (861,756)</w:t>
            </w:r>
          </w:p>
        </w:tc>
      </w:tr>
      <w:tr>
        <w:tc>
          <w:tcPr>
            <w:tcW w:type="dxa" w:w="1500"/>
            <w:tcMar>
              <w:top w:type="dxa" w:w="70"/>
              <w:left w:type="dxa" w:w="110"/>
              <w:bottom w:type="dxa" w:w="70"/>
              <w:right w:type="dxa" w:w="110"/>
            </w:tcMar>
          </w:tcPr>
          <w:p>
            <w:pPr>
              <w:spacing w:after="0"/>
            </w:pPr>
            <w:r>
              <w:rPr>
                <w:b/>
                <w:bCs/>
                <w:sz w:val="19"/>
                <w:szCs w:val="19"/>
              </w:rPr>
              <w:t xml:space="preserve">htn p2</w:t>
            </w:r>
          </w:p>
        </w:tc>
        <w:tc>
          <w:tcPr>
            <w:tcW w:type="dxa" w:w="2100"/>
            <w:tcMar>
              <w:top w:type="dxa" w:w="70"/>
              <w:left w:type="dxa" w:w="110"/>
              <w:bottom w:type="dxa" w:w="70"/>
              <w:right w:type="dxa" w:w="110"/>
            </w:tcMar>
          </w:tcPr>
          <w:p>
            <w:pPr>
              <w:spacing w:after="0"/>
            </w:pPr>
            <w:r>
              <w:rPr>
                <w:b w:val="false"/>
                <w:bCs w:val="false"/>
                <w:sz w:val="19"/>
                <w:szCs w:val="19"/>
              </w:rPr>
              <w:t xml:space="preserve">Renal Arteries</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kidney parenchyma</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renal vessels, (615,717)</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htn p8</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Endothelium ×2</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left behind as the lumen narrowed</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extended; nothing erased</w:t>
            </w:r>
          </w:p>
        </w:tc>
      </w:tr>
      <w:tr>
        <w:tc>
          <w:tcPr>
            <w:tcW w:type="dxa" w:w="1500"/>
            <w:tcMar>
              <w:top w:type="dxa" w:w="70"/>
              <w:left w:type="dxa" w:w="110"/>
              <w:bottom w:type="dxa" w:w="70"/>
              <w:right w:type="dxa" w:w="110"/>
            </w:tcMar>
          </w:tcPr>
          <w:p>
            <w:pPr>
              <w:spacing w:after="0"/>
            </w:pPr>
            <w:r>
              <w:rPr>
                <w:b/>
                <w:bCs/>
                <w:sz w:val="19"/>
                <w:szCs w:val="19"/>
              </w:rPr>
              <w:t xml:space="preserve">cardiomyopathy p4</w:t>
            </w:r>
          </w:p>
        </w:tc>
        <w:tc>
          <w:tcPr>
            <w:tcW w:type="dxa" w:w="2100"/>
            <w:tcMar>
              <w:top w:type="dxa" w:w="70"/>
              <w:left w:type="dxa" w:w="110"/>
              <w:bottom w:type="dxa" w:w="70"/>
              <w:right w:type="dxa" w:w="110"/>
            </w:tcMar>
          </w:tcPr>
          <w:p>
            <w:pPr>
              <w:spacing w:after="0"/>
            </w:pPr>
            <w:r>
              <w:rPr>
                <w:b w:val="false"/>
                <w:bCs w:val="false"/>
                <w:sz w:val="19"/>
                <w:szCs w:val="19"/>
              </w:rPr>
              <w:t xml:space="preserve">SMALL LV CAVITY</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inside the septal mass</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cavity, (630,772)</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cardiac-arrest p2</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Diaphragm (badge 5)</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into lung</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diaphragm, (430,562)</w:t>
            </w:r>
          </w:p>
        </w:tc>
      </w:tr>
      <w:tr>
        <w:tc>
          <w:tcPr>
            <w:tcW w:type="dxa" w:w="1500"/>
            <w:tcMar>
              <w:top w:type="dxa" w:w="70"/>
              <w:left w:type="dxa" w:w="110"/>
              <w:bottom w:type="dxa" w:w="70"/>
              <w:right w:type="dxa" w:w="110"/>
            </w:tcMar>
          </w:tcPr>
          <w:p>
            <w:pPr>
              <w:spacing w:after="0"/>
            </w:pPr>
            <w:r>
              <w:rPr>
                <w:b/>
                <w:bCs/>
                <w:sz w:val="19"/>
                <w:szCs w:val="19"/>
              </w:rPr>
              <w:t xml:space="preserve">cardiac-arrest p4</w:t>
            </w:r>
          </w:p>
        </w:tc>
        <w:tc>
          <w:tcPr>
            <w:tcW w:type="dxa" w:w="2100"/>
            <w:tcMar>
              <w:top w:type="dxa" w:w="70"/>
              <w:left w:type="dxa" w:w="110"/>
              <w:bottom w:type="dxa" w:w="70"/>
              <w:right w:type="dxa" w:w="110"/>
            </w:tcMar>
          </w:tcPr>
          <w:p>
            <w:pPr>
              <w:spacing w:after="0"/>
            </w:pPr>
            <w:r>
              <w:rPr>
                <w:b w:val="false"/>
                <w:bCs w:val="false"/>
                <w:sz w:val="19"/>
                <w:szCs w:val="19"/>
              </w:rPr>
              <w:t xml:space="preserve">(stray arrowhead)</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attached to nothing</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removed</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endocarditis p6</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TEE arrow</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outside the ultrasound sector</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inside it, tip (655,878)</w:t>
            </w:r>
          </w:p>
        </w:tc>
      </w:tr>
      <w:tr>
        <w:tc>
          <w:tcPr>
            <w:tcW w:type="dxa" w:w="1500"/>
            <w:tcMar>
              <w:top w:type="dxa" w:w="70"/>
              <w:left w:type="dxa" w:w="110"/>
              <w:bottom w:type="dxa" w:w="70"/>
              <w:right w:type="dxa" w:w="110"/>
            </w:tcMar>
          </w:tcPr>
          <w:p>
            <w:pPr>
              <w:spacing w:after="0"/>
            </w:pPr>
            <w:r>
              <w:rPr>
                <w:b/>
                <w:bCs/>
                <w:sz w:val="19"/>
                <w:szCs w:val="19"/>
              </w:rPr>
              <w:t xml:space="preserve">endocarditis p7</w:t>
            </w:r>
          </w:p>
        </w:tc>
        <w:tc>
          <w:tcPr>
            <w:tcW w:type="dxa" w:w="2100"/>
            <w:tcMar>
              <w:top w:type="dxa" w:w="70"/>
              <w:left w:type="dxa" w:w="110"/>
              <w:bottom w:type="dxa" w:w="70"/>
              <w:right w:type="dxa" w:w="110"/>
            </w:tcMar>
          </w:tcPr>
          <w:p>
            <w:pPr>
              <w:spacing w:after="0"/>
            </w:pPr>
            <w:r>
              <w:rPr>
                <w:b w:val="false"/>
                <w:bCs w:val="false"/>
                <w:sz w:val="19"/>
                <w:szCs w:val="19"/>
              </w:rPr>
              <w:t xml:space="preserve">VALVE CUSP</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vegetation</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cusp, (828,476)</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aortic-stenosis p1</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Narrowed Valve Orifice</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a cusp</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orifice, (606,558)</w:t>
            </w:r>
          </w:p>
        </w:tc>
      </w:tr>
      <w:tr>
        <w:tc>
          <w:tcPr>
            <w:tcW w:type="dxa" w:w="1500"/>
            <w:tcMar>
              <w:top w:type="dxa" w:w="70"/>
              <w:left w:type="dxa" w:w="110"/>
              <w:bottom w:type="dxa" w:w="70"/>
              <w:right w:type="dxa" w:w="110"/>
            </w:tcMar>
          </w:tcPr>
          <w:p>
            <w:pPr>
              <w:spacing w:after="0"/>
            </w:pPr>
            <w:r>
              <w:rPr>
                <w:b/>
                <w:bCs/>
                <w:sz w:val="19"/>
                <w:szCs w:val="19"/>
              </w:rPr>
              <w:t xml:space="preserve">aortic-stenosis p4</w:t>
            </w:r>
          </w:p>
        </w:tc>
        <w:tc>
          <w:tcPr>
            <w:tcW w:type="dxa" w:w="2100"/>
            <w:tcMar>
              <w:top w:type="dxa" w:w="70"/>
              <w:left w:type="dxa" w:w="110"/>
              <w:bottom w:type="dxa" w:w="70"/>
              <w:right w:type="dxa" w:w="110"/>
            </w:tcMar>
          </w:tcPr>
          <w:p>
            <w:pPr>
              <w:spacing w:after="0"/>
            </w:pPr>
            <w:r>
              <w:rPr>
                <w:b w:val="false"/>
                <w:bCs w:val="false"/>
                <w:sz w:val="19"/>
                <w:szCs w:val="19"/>
              </w:rPr>
              <w:t xml:space="preserve">Narrowed central orifice</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same error again</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orifice, (829,484)</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aortic-dissection p1</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(second orphan dot)</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mid-leader, on the atrial appendage</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removed</w:t>
            </w:r>
          </w:p>
        </w:tc>
      </w:tr>
    </w:tbl>
    <w:p>
      <w:r>
        <w:br/>
      </w:r>
    </w:p>
    <w:p>
      <w:pPr>
        <w:pStyle w:val="Heading1"/>
        <w:spacing w:after="130" w:before="260"/>
      </w:pPr>
      <w:r>
        <w:rPr>
          <w:b/>
          <w:bCs/>
          <w:color w:val="1F3864"/>
        </w:rPr>
        <w:t xml:space="preserve">B · Verified, needs a re-render — measured coordinates</w:t>
      </w:r>
    </w:p>
    <w:p>
      <w:pPr>
        <w:spacing w:after="130"/>
      </w:pPr>
      <w:r>
        <w:rPr>
          <w:sz w:val="21"/>
          <w:szCs w:val="21"/>
        </w:rPr>
        <w:t xml:space="preserve">Nothing on these three pages was corrected locally. Each is stated with where the leader ends now and where it should end, both measured.</w:t>
      </w:r>
    </w:p>
    <w:p>
      <w:pPr>
        <w:pStyle w:val="Heading2"/>
        <w:spacing w:after="130" w:before="260"/>
      </w:pPr>
      <w:r>
        <w:rPr>
          <w:b/>
          <w:bCs/>
          <w:color w:val="1F3864"/>
        </w:rPr>
        <w:t xml:space="preserve">aki page 2 — NEPHRON panel: four labels inside one blood vessel</w:t>
      </w:r>
    </w:p>
    <w:p>
      <w:pPr>
        <w:spacing w:after="120"/>
      </w:pPr>
      <w:r>
        <w:rPr>
          <w:sz w:val="21"/>
          <w:szCs w:val="21"/>
        </w:rPr>
        <w:t xml:space="preserve">The panel draws the vasa recta bundle as a blue/red pair at x 833–847 — 17 px wide — then the gold tubules: beaded proximal convolutions x 855–925, hairpin limbs of Henle x 865–885 and 895–910, collecting-duct trunk x 950–980.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00"/>
        <w:gridCol w:w="3200"/>
      </w:tblGrid>
      <w:t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Ends at</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What is there</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Should end at</w:t>
            </w:r>
          </w:p>
        </w:tc>
      </w:tr>
      <w:tr>
        <w:tc>
          <w:tcPr>
            <w:tcW w:type="dxa" w:w="1500"/>
            <w:tcMar>
              <w:top w:type="dxa" w:w="70"/>
              <w:left w:type="dxa" w:w="110"/>
              <w:bottom w:type="dxa" w:w="70"/>
              <w:right w:type="dxa" w:w="110"/>
            </w:tcMar>
          </w:tcPr>
          <w:p>
            <w:pPr>
              <w:spacing w:after="0"/>
            </w:pPr>
            <w:r>
              <w:rPr>
                <w:b/>
                <w:bCs/>
                <w:sz w:val="19"/>
                <w:szCs w:val="19"/>
              </w:rPr>
              <w:t xml:space="preserve">Proximal Tubule</w:t>
            </w:r>
          </w:p>
        </w:tc>
        <w:tc>
          <w:tcPr>
            <w:tcW w:type="dxa" w:w="2100"/>
            <w:tcMar>
              <w:top w:type="dxa" w:w="70"/>
              <w:left w:type="dxa" w:w="110"/>
              <w:bottom w:type="dxa" w:w="70"/>
              <w:right w:type="dxa" w:w="110"/>
            </w:tcMar>
          </w:tcPr>
          <w:p>
            <w:pPr>
              <w:spacing w:after="0"/>
            </w:pPr>
            <w:r>
              <w:rPr>
                <w:b w:val="false"/>
                <w:bCs w:val="false"/>
                <w:sz w:val="19"/>
                <w:szCs w:val="19"/>
              </w:rPr>
              <w:t xml:space="preserve">(825,551)</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vasa recta bundle</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beaded gold tubule, x 860–925</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Loop of Henle</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(840,600)</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vasa recta bundle</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gold hairpin, x 865–910</w:t>
            </w:r>
          </w:p>
        </w:tc>
      </w:tr>
      <w:tr>
        <w:tc>
          <w:tcPr>
            <w:tcW w:type="dxa" w:w="1500"/>
            <w:tcMar>
              <w:top w:type="dxa" w:w="70"/>
              <w:left w:type="dxa" w:w="110"/>
              <w:bottom w:type="dxa" w:w="70"/>
              <w:right w:type="dxa" w:w="110"/>
            </w:tcMar>
          </w:tcPr>
          <w:p>
            <w:pPr>
              <w:spacing w:after="0"/>
            </w:pPr>
            <w:r>
              <w:rPr>
                <w:b/>
                <w:bCs/>
                <w:sz w:val="19"/>
                <w:szCs w:val="19"/>
              </w:rPr>
              <w:t xml:space="preserve">Distal Tubule</w:t>
            </w:r>
          </w:p>
        </w:tc>
        <w:tc>
          <w:tcPr>
            <w:tcW w:type="dxa" w:w="2100"/>
            <w:tcMar>
              <w:top w:type="dxa" w:w="70"/>
              <w:left w:type="dxa" w:w="110"/>
              <w:bottom w:type="dxa" w:w="70"/>
              <w:right w:type="dxa" w:w="110"/>
            </w:tcMar>
          </w:tcPr>
          <w:p>
            <w:pPr>
              <w:spacing w:after="0"/>
            </w:pPr>
            <w:r>
              <w:rPr>
                <w:b w:val="false"/>
                <w:bCs w:val="false"/>
                <w:sz w:val="19"/>
                <w:szCs w:val="19"/>
              </w:rPr>
              <w:t xml:space="preserve">(842,648)</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same bundle, red limb</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returning gold tubule</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Collecting Duct</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~(870,700)</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descending gold limb</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thick trunk, x 950–980</w:t>
            </w:r>
          </w:p>
        </w:tc>
      </w:tr>
      <w:tr>
        <w:tc>
          <w:tcPr>
            <w:tcW w:type="dxa" w:w="1500"/>
            <w:tcMar>
              <w:top w:type="dxa" w:w="70"/>
              <w:left w:type="dxa" w:w="110"/>
              <w:bottom w:type="dxa" w:w="70"/>
              <w:right w:type="dxa" w:w="110"/>
            </w:tcMar>
          </w:tcPr>
          <w:p>
            <w:pPr>
              <w:spacing w:after="0"/>
            </w:pPr>
            <w:r>
              <w:rPr>
                <w:b/>
                <w:bCs/>
                <w:sz w:val="19"/>
                <w:szCs w:val="19"/>
              </w:rPr>
              <w:t xml:space="preserve">Glomerulus</w:t>
            </w:r>
          </w:p>
        </w:tc>
        <w:tc>
          <w:tcPr>
            <w:tcW w:type="dxa" w:w="2100"/>
            <w:tcMar>
              <w:top w:type="dxa" w:w="70"/>
              <w:left w:type="dxa" w:w="110"/>
              <w:bottom w:type="dxa" w:w="70"/>
              <w:right w:type="dxa" w:w="110"/>
            </w:tcMar>
          </w:tcPr>
          <w:p>
            <w:pPr>
              <w:spacing w:after="0"/>
            </w:pPr>
            <w:r>
              <w:rPr>
                <w:b w:val="false"/>
                <w:bCs w:val="false"/>
                <w:sz w:val="19"/>
                <w:szCs w:val="19"/>
              </w:rPr>
              <w:t xml:space="preserve">(823,450)</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blue arteriole above the capsule</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red tuft, (830,495)</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Bowman's Capsule</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(830,500)</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red tuft, inside the capsule</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peach ring, (780,500)</w:t>
            </w:r>
          </w:p>
        </w:tc>
      </w:tr>
    </w:tbl>
    <w:p>
      <w:pPr>
        <w:spacing w:after="120"/>
      </w:pPr>
      <w:r>
        <w:rPr>
          <w:sz w:val="21"/>
          <w:szCs w:val="21"/>
        </w:rPr>
        <w:t xml:space="preserve">Glomerulus and Bowman's Capsule are each displaced onto the other's structure, and the capsule ring itself carries no label. Note they cannot simply be swapped end for end: with the correct endpoints, the Glomerulus leader has to pass over the capsule to reach the tuft inside it.</w:t>
      </w:r>
    </w:p>
    <w:p>
      <w:pPr>
        <w:spacing w:after="160"/>
      </w:pPr>
      <w:r>
        <w:rPr>
          <w:sz w:val="21"/>
          <w:szCs w:val="21"/>
        </w:rPr>
        <w:t xml:space="preserve">BLOOD SUPPLY panel — the order's "series is effectively inverted" is confirmed. Segmental ends (806,849), Interlobar (794,870), Arcuate (789,918); those should run medial to lateral in that order and run exactly backwards. Interlobular (838,961) is correct. Segmental is the worst: the thick first-order trunks are at x 750–790 and its leader stops 20–50 px lateral of them. The Afferent Arteriole leader crosses the renal vein.</w:t>
      </w:r>
    </w:p>
    <w:p>
      <w:pPr>
        <w:pStyle w:val="Heading2"/>
        <w:spacing w:after="130" w:before="260"/>
      </w:pPr>
      <w:r>
        <w:rPr>
          <w:b/>
          <w:bCs/>
          <w:color w:val="1F3864"/>
        </w:rPr>
        <w:t xml:space="preserve">aortic-dissection page 2 — arch branches shifted one position</w:t>
      </w:r>
    </w:p>
    <w:p>
      <w:pPr>
        <w:spacing w:after="120"/>
      </w:pPr>
      <w:r>
        <w:rPr>
          <w:sz w:val="21"/>
          <w:szCs w:val="21"/>
        </w:rPr>
        <w:t xml:space="preserve">Three branches rise from the arch: brachiocephalic x 422–437, left common carotid x 448–465, left subclavian x 478–500.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00"/>
        <w:gridCol w:w="3200"/>
      </w:tblGrid>
      <w:t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Ends at</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Which branch</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Should end at</w:t>
            </w:r>
          </w:p>
        </w:tc>
      </w:tr>
      <w:tr>
        <w:tc>
          <w:tcPr>
            <w:tcW w:type="dxa" w:w="1500"/>
            <w:tcMar>
              <w:top w:type="dxa" w:w="70"/>
              <w:left w:type="dxa" w:w="110"/>
              <w:bottom w:type="dxa" w:w="70"/>
              <w:right w:type="dxa" w:w="110"/>
            </w:tcMar>
          </w:tcPr>
          <w:p>
            <w:pPr>
              <w:spacing w:after="0"/>
            </w:pPr>
            <w:r>
              <w:rPr>
                <w:b/>
                <w:bCs/>
                <w:sz w:val="19"/>
                <w:szCs w:val="19"/>
              </w:rPr>
              <w:t xml:space="preserve">Brachiocephalic trunk</w:t>
            </w:r>
          </w:p>
        </w:tc>
        <w:tc>
          <w:tcPr>
            <w:tcW w:type="dxa" w:w="2100"/>
            <w:tcMar>
              <w:top w:type="dxa" w:w="70"/>
              <w:left w:type="dxa" w:w="110"/>
              <w:bottom w:type="dxa" w:w="70"/>
              <w:right w:type="dxa" w:w="110"/>
            </w:tcMar>
          </w:tcPr>
          <w:p>
            <w:pPr>
              <w:spacing w:after="0"/>
            </w:pPr>
            <w:r>
              <w:rPr>
                <w:b w:val="false"/>
                <w:bCs w:val="false"/>
                <w:sz w:val="19"/>
                <w:szCs w:val="19"/>
              </w:rPr>
              <w:t xml:space="preserve">(462,222)</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2 — left common carotid</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branch 1, ~(430,240)</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Left common carotid</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(490,236)</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3 — left subclavian</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branch 2, ~(453,240)</w:t>
            </w:r>
          </w:p>
        </w:tc>
      </w:tr>
      <w:tr>
        <w:tc>
          <w:tcPr>
            <w:tcW w:type="dxa" w:w="1500"/>
            <w:tcMar>
              <w:top w:type="dxa" w:w="70"/>
              <w:left w:type="dxa" w:w="110"/>
              <w:bottom w:type="dxa" w:w="70"/>
              <w:right w:type="dxa" w:w="110"/>
            </w:tcMar>
          </w:tcPr>
          <w:p>
            <w:pPr>
              <w:spacing w:after="0"/>
            </w:pPr>
            <w:r>
              <w:rPr>
                <w:b/>
                <w:bCs/>
                <w:sz w:val="19"/>
                <w:szCs w:val="19"/>
              </w:rPr>
              <w:t xml:space="preserve">Left subclavian</w:t>
            </w:r>
          </w:p>
        </w:tc>
        <w:tc>
          <w:tcPr>
            <w:tcW w:type="dxa" w:w="2100"/>
            <w:tcMar>
              <w:top w:type="dxa" w:w="70"/>
              <w:left w:type="dxa" w:w="110"/>
              <w:bottom w:type="dxa" w:w="70"/>
              <w:right w:type="dxa" w:w="110"/>
            </w:tcMar>
          </w:tcPr>
          <w:p>
            <w:pPr>
              <w:spacing w:after="0"/>
            </w:pPr>
            <w:r>
              <w:rPr>
                <w:b w:val="false"/>
                <w:bCs w:val="false"/>
                <w:sz w:val="19"/>
                <w:szCs w:val="19"/>
              </w:rPr>
              <w:t xml:space="preserve">(484,252)</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3 — correct, but now shared</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unchanged</w:t>
            </w:r>
          </w:p>
        </w:tc>
      </w:tr>
    </w:tbl>
    <w:p>
      <w:pPr>
        <w:spacing w:after="160"/>
      </w:pPr>
      <w:r>
        <w:rPr>
          <w:sz w:val="21"/>
          <w:szCs w:val="21"/>
        </w:rPr>
        <w:t xml:space="preserve">Branch 1 — the real brachiocephalic, the only one that visibly bifurcates — carries no label. Separately: this gallery ships at 915×1373; the standard is 1024×1536.</w:t>
      </w:r>
    </w:p>
    <w:p>
      <w:pPr>
        <w:pStyle w:val="Heading2"/>
        <w:spacing w:after="130" w:before="260"/>
      </w:pPr>
      <w:r>
        <w:rPr>
          <w:b/>
          <w:bCs/>
          <w:color w:val="1F3864"/>
        </w:rPr>
        <w:t xml:space="preserve">bph page 2 — the worst page in the order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00"/>
        <w:gridCol w:w="3200"/>
      </w:tblGrid>
      <w:t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Ends at</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What is there</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Should end at</w:t>
            </w:r>
          </w:p>
        </w:tc>
      </w:tr>
      <w:tr>
        <w:tc>
          <w:tcPr>
            <w:tcW w:type="dxa" w:w="1500"/>
            <w:tcMar>
              <w:top w:type="dxa" w:w="70"/>
              <w:left w:type="dxa" w:w="110"/>
              <w:bottom w:type="dxa" w:w="70"/>
              <w:right w:type="dxa" w:w="110"/>
            </w:tcMar>
          </w:tcPr>
          <w:p>
            <w:pPr>
              <w:spacing w:after="0"/>
            </w:pPr>
            <w:r>
              <w:rPr>
                <w:b/>
                <w:bCs/>
                <w:sz w:val="19"/>
                <w:szCs w:val="19"/>
              </w:rPr>
              <w:t xml:space="preserve">Seminal vesicle</w:t>
            </w:r>
          </w:p>
        </w:tc>
        <w:tc>
          <w:tcPr>
            <w:tcW w:type="dxa" w:w="2100"/>
            <w:tcMar>
              <w:top w:type="dxa" w:w="70"/>
              <w:left w:type="dxa" w:w="110"/>
              <w:bottom w:type="dxa" w:w="70"/>
              <w:right w:type="dxa" w:w="110"/>
            </w:tcMar>
          </w:tcPr>
          <w:p>
            <w:pPr>
              <w:spacing w:after="0"/>
            </w:pPr>
            <w:r>
              <w:rPr>
                <w:b w:val="false"/>
                <w:bCs w:val="false"/>
                <w:sz w:val="19"/>
                <w:szCs w:val="19"/>
              </w:rPr>
              <w:t xml:space="preserve">(683,180)</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bladder wall at its base</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retrovesical chain, ~(800,175)</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Detrusor muscle</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~(816,160)</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fascia lateral to that chain</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muscular bladder wall</w:t>
            </w:r>
          </w:p>
        </w:tc>
      </w:tr>
      <w:tr>
        <w:tc>
          <w:tcPr>
            <w:tcW w:type="dxa" w:w="1500"/>
            <w:tcMar>
              <w:top w:type="dxa" w:w="70"/>
              <w:left w:type="dxa" w:w="110"/>
              <w:bottom w:type="dxa" w:w="70"/>
              <w:right w:type="dxa" w:w="110"/>
            </w:tcMar>
          </w:tcPr>
          <w:p>
            <w:pPr>
              <w:spacing w:after="0"/>
            </w:pPr>
            <w:r>
              <w:rPr>
                <w:b/>
                <w:bCs/>
                <w:sz w:val="19"/>
                <w:szCs w:val="19"/>
              </w:rPr>
              <w:t xml:space="preserve">Pubic symphysis</w:t>
            </w:r>
          </w:p>
        </w:tc>
        <w:tc>
          <w:tcPr>
            <w:tcW w:type="dxa" w:w="2100"/>
            <w:tcMar>
              <w:top w:type="dxa" w:w="70"/>
              <w:left w:type="dxa" w:w="110"/>
              <w:bottom w:type="dxa" w:w="70"/>
              <w:right w:type="dxa" w:w="110"/>
            </w:tcMar>
          </w:tcPr>
          <w:p>
            <w:pPr>
              <w:spacing w:after="0"/>
            </w:pPr>
            <w:r>
              <w:rPr>
                <w:b w:val="false"/>
                <w:bCs w:val="false"/>
                <w:sz w:val="19"/>
                <w:szCs w:val="19"/>
              </w:rPr>
              <w:t xml:space="preserve">(666,285)</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root of the penis</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cream ovoid, (662,225)</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Testis</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(628,362)</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penile shaft</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pink ovoid, (683,362)</w:t>
            </w:r>
          </w:p>
        </w:tc>
      </w:tr>
      <w:tr>
        <w:tc>
          <w:tcPr>
            <w:tcW w:type="dxa" w:w="1500"/>
            <w:tcMar>
              <w:top w:type="dxa" w:w="70"/>
              <w:left w:type="dxa" w:w="110"/>
              <w:bottom w:type="dxa" w:w="70"/>
              <w:right w:type="dxa" w:w="110"/>
            </w:tcMar>
          </w:tcPr>
          <w:p>
            <w:pPr>
              <w:spacing w:after="0"/>
            </w:pPr>
            <w:r>
              <w:rPr>
                <w:b/>
                <w:bCs/>
                <w:sz w:val="19"/>
                <w:szCs w:val="19"/>
              </w:rPr>
              <w:t xml:space="preserve">Scrotum</w:t>
            </w:r>
          </w:p>
        </w:tc>
        <w:tc>
          <w:tcPr>
            <w:tcW w:type="dxa" w:w="2100"/>
            <w:tcMar>
              <w:top w:type="dxa" w:w="70"/>
              <w:left w:type="dxa" w:w="110"/>
              <w:bottom w:type="dxa" w:w="70"/>
              <w:right w:type="dxa" w:w="110"/>
            </w:tcMar>
          </w:tcPr>
          <w:p>
            <w:pPr>
              <w:spacing w:after="0"/>
            </w:pPr>
            <w:r>
              <w:rPr>
                <w:b w:val="false"/>
                <w:bCs w:val="false"/>
                <w:sz w:val="19"/>
                <w:szCs w:val="19"/>
              </w:rPr>
              <w:t xml:space="preserve">(628,390)</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glans penis</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the scrotal sac, x 660–730</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Periprostatic venous plexus</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(738,232)</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inside the right prostate lobe</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the veins outside the gland</w:t>
            </w:r>
          </w:p>
        </w:tc>
      </w:tr>
    </w:tbl>
    <w:p>
      <w:pPr>
        <w:spacing w:after="110"/>
      </w:pPr>
      <w:r>
        <w:rPr>
          <w:sz w:val="21"/>
          <w:szCs w:val="21"/>
        </w:rPr>
        <w:t xml:space="preserve">The seminal vesicle on this figure is labelled "Detrusor muscle" and the bladder wall is labelled "Seminal vesicle". They approach from opposite sides, so this is not a swapped pair — each is displaced in a way that lands on the other's target.</w:t>
      </w:r>
    </w:p>
    <w:p>
      <w:pPr>
        <w:spacing w:after="110"/>
      </w:pPr>
      <w:r>
        <w:rPr>
          <w:sz w:val="21"/>
          <w:szCs w:val="21"/>
        </w:rPr>
        <w:t xml:space="preserve">Worth knowing before re-rendering: the prostate spans x 690–780, split at the midline urethra at x≈728, and the pubic symphysis is a separate pale ovoid at x 645–680. At low magnification they read as one mass, which is very likely how "Pubic symphysis" ended up on the penile root.</w:t>
      </w:r>
    </w:p>
    <w:p>
      <w:pPr>
        <w:spacing w:after="160"/>
      </w:pPr>
      <w:r>
        <w:rPr>
          <w:sz w:val="21"/>
          <w:szCs w:val="21"/>
        </w:rPr>
        <w:t xml:space="preserve">Testis and Scrotum are layout problems. The penis is drawn between the label column and the testis, so correct leaders would visibly run through it — please re-site those two labels rather than lengthening their leaders. Six further rows on this page are carried over from the original order unverified.</w:t>
      </w:r>
    </w:p>
    <w:p>
      <w:r>
        <w:br/>
      </w:r>
    </w:p>
    <w:p>
      <w:pPr>
        <w:pStyle w:val="Heading1"/>
        <w:spacing w:after="130" w:before="260"/>
      </w:pPr>
      <w:r>
        <w:rPr>
          <w:b/>
          <w:bCs/>
          <w:color w:val="1F3864"/>
        </w:rPr>
        <w:t xml:space="preserve">C · Rows where the stated fix is the wrong fix</w:t>
      </w:r>
    </w:p>
    <w:p>
      <w:pPr>
        <w:spacing w:after="130"/>
      </w:pPr>
      <w:r>
        <w:rPr>
          <w:sz w:val="21"/>
          <w:szCs w:val="21"/>
        </w:rPr>
        <w:t xml:space="preserve">Each of these is a real defect. In each, moving the leader is not the correction — please read the reason before scheduling them as line-placement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00"/>
        <w:gridCol w:w="3200"/>
      </w:tblGrid>
      <w:tr>
        <w:tc>
          <w:tcPr>
            <w:tcW w:type="dxa" w:w="1500"/>
            <w:shd w:fill="1F3864" w:color="auto" w:val="clear"/>
            <w:tcMar>
              <w:top w:type="dxa" w:w="70"/>
              <w:left w:type="dxa" w:w="110"/>
              <w:bottom w:type="dxa" w:w="70"/>
              <w:right w:type="dxa" w:w="110"/>
            </w:tcMar>
          </w:tcPr>
          <w:p>
            <w:pPr>
              <w:spacing w:after="0"/>
            </w:pPr>
            <w:r>
              <w:rPr>
                <w:b/>
                <w:bCs/>
                <w:color w:val="FFFFFF"/>
                <w:sz w:val="19"/>
                <w:szCs w:val="19"/>
              </w:rPr>
              <w:t xml:space="preserve">Gallery / page</w:t>
            </w:r>
          </w:p>
        </w:tc>
        <w:tc>
          <w:tcPr>
            <w:tcW w:type="dxa" w:w="2100"/>
            <w:shd w:fill="1F3864"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Why a line move is wrong</w:t>
            </w:r>
          </w:p>
        </w:tc>
        <w:tc>
          <w:tcPr>
            <w:tcW w:type="dxa" w:w="3200"/>
            <w:shd w:fill="1F3864" w:color="auto" w:val="clear"/>
            <w:tcMar>
              <w:top w:type="dxa" w:w="70"/>
              <w:left w:type="dxa" w:w="110"/>
              <w:bottom w:type="dxa" w:w="70"/>
              <w:right w:type="dxa" w:w="110"/>
            </w:tcMar>
          </w:tcPr>
          <w:p>
            <w:pPr>
              <w:spacing w:after="0"/>
            </w:pPr>
            <w:r>
              <w:rPr>
                <w:b/>
                <w:bCs/>
                <w:color w:val="FFFFFF"/>
                <w:sz w:val="19"/>
                <w:szCs w:val="19"/>
              </w:rPr>
              <w:t xml:space="preserve">What to do instead</w:t>
            </w:r>
          </w:p>
        </w:tc>
      </w:tr>
      <w:tr>
        <w:tc>
          <w:tcPr>
            <w:tcW w:type="dxa" w:w="1500"/>
            <w:tcMar>
              <w:top w:type="dxa" w:w="70"/>
              <w:left w:type="dxa" w:w="110"/>
              <w:bottom w:type="dxa" w:w="70"/>
              <w:right w:type="dxa" w:w="110"/>
            </w:tcMar>
          </w:tcPr>
          <w:p>
            <w:pPr>
              <w:spacing w:after="0"/>
            </w:pPr>
            <w:r>
              <w:rPr>
                <w:b/>
                <w:bCs/>
                <w:sz w:val="19"/>
                <w:szCs w:val="19"/>
              </w:rPr>
              <w:t xml:space="preserve">croup p2</w:t>
            </w:r>
          </w:p>
        </w:tc>
        <w:tc>
          <w:tcPr>
            <w:tcW w:type="dxa" w:w="2100"/>
            <w:tcMar>
              <w:top w:type="dxa" w:w="70"/>
              <w:left w:type="dxa" w:w="110"/>
              <w:bottom w:type="dxa" w:w="70"/>
              <w:right w:type="dxa" w:w="110"/>
            </w:tcMar>
          </w:tcPr>
          <w:p>
            <w:pPr>
              <w:spacing w:after="0"/>
            </w:pPr>
            <w:r>
              <w:rPr>
                <w:b w:val="false"/>
                <w:bCs w:val="false"/>
                <w:sz w:val="19"/>
                <w:szCs w:val="19"/>
              </w:rPr>
              <w:t xml:space="preserve">Trachea</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label column is taller than the airway; every correct route crosses ~100 px of lung</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raise the label to sit beside the trachea</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b12-anemia p2</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marker 3</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badge is in the right place with the wrong numeral — the legend's item 4 is Duodenum and no 4 exists on the figure</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renumber it 4; add a 3 on the gastric body</w:t>
            </w:r>
          </w:p>
        </w:tc>
      </w:tr>
      <w:tr>
        <w:tc>
          <w:tcPr>
            <w:tcW w:type="dxa" w:w="1500"/>
            <w:tcMar>
              <w:top w:type="dxa" w:w="70"/>
              <w:left w:type="dxa" w:w="110"/>
              <w:bottom w:type="dxa" w:w="70"/>
              <w:right w:type="dxa" w:w="110"/>
            </w:tcMar>
          </w:tcPr>
          <w:p>
            <w:pPr>
              <w:spacing w:after="0"/>
            </w:pPr>
            <w:r>
              <w:rPr>
                <w:b/>
                <w:bCs/>
                <w:sz w:val="19"/>
                <w:szCs w:val="19"/>
              </w:rPr>
              <w:t xml:space="preserve">thrombocytopenia p2</w:t>
            </w:r>
          </w:p>
        </w:tc>
        <w:tc>
          <w:tcPr>
            <w:tcW w:type="dxa" w:w="2100"/>
            <w:tcMar>
              <w:top w:type="dxa" w:w="70"/>
              <w:left w:type="dxa" w:w="110"/>
              <w:bottom w:type="dxa" w:w="70"/>
              <w:right w:type="dxa" w:w="110"/>
            </w:tcMar>
          </w:tcPr>
          <w:p>
            <w:pPr>
              <w:spacing w:after="0"/>
            </w:pPr>
            <w:r>
              <w:rPr>
                <w:b w:val="false"/>
                <w:bCs w:val="false"/>
                <w:sz w:val="19"/>
                <w:szCs w:val="19"/>
              </w:rPr>
              <w:t xml:space="preserve">Sinusoid</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stroke is collinear with a megakaryocyte pseudopod; erasing it shortens the proplatelet the panel teaches</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end the leader at the crossing, (485,580)</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gi-bleed p1</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Duodenum (First part)</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bulb is 100 px above and left of the label; any leader doubles back or climbs the whole duodenum</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move the label level with the bulb, y 560–590</w:t>
            </w:r>
          </w:p>
        </w:tc>
      </w:tr>
      <w:tr>
        <w:tc>
          <w:tcPr>
            <w:tcW w:type="dxa" w:w="1500"/>
            <w:tcMar>
              <w:top w:type="dxa" w:w="70"/>
              <w:left w:type="dxa" w:w="110"/>
              <w:bottom w:type="dxa" w:w="70"/>
              <w:right w:type="dxa" w:w="110"/>
            </w:tcMar>
          </w:tcPr>
          <w:p>
            <w:pPr>
              <w:spacing w:after="0"/>
            </w:pPr>
            <w:r>
              <w:rPr>
                <w:b/>
                <w:bCs/>
                <w:sz w:val="19"/>
                <w:szCs w:val="19"/>
              </w:rPr>
              <w:t xml:space="preserve">gi-bleed p2</w:t>
            </w:r>
          </w:p>
        </w:tc>
        <w:tc>
          <w:tcPr>
            <w:tcW w:type="dxa" w:w="2100"/>
            <w:tcMar>
              <w:top w:type="dxa" w:w="70"/>
              <w:left w:type="dxa" w:w="110"/>
              <w:bottom w:type="dxa" w:w="70"/>
              <w:right w:type="dxa" w:w="110"/>
            </w:tcMar>
          </w:tcPr>
          <w:p>
            <w:pPr>
              <w:spacing w:after="0"/>
            </w:pPr>
            <w:r>
              <w:rPr>
                <w:b w:val="false"/>
                <w:bCs w:val="false"/>
                <w:sz w:val="19"/>
                <w:szCs w:val="19"/>
              </w:rPr>
              <w:t xml:space="preserve">Cardia</w:t>
            </w:r>
          </w:p>
        </w:tc>
        <w:tc>
          <w:tcPr>
            <w:tcW w:type="dxa" w:w="3200"/>
            <w:tcMar>
              <w:top w:type="dxa" w:w="70"/>
              <w:left w:type="dxa" w:w="110"/>
              <w:bottom w:type="dxa" w:w="70"/>
              <w:right w:type="dxa" w:w="110"/>
            </w:tcMar>
          </w:tcPr>
          <w:p>
            <w:pPr>
              <w:spacing w:after="0"/>
            </w:pPr>
            <w:r>
              <w:rPr>
                <w:b w:val="false"/>
                <w:bCs w:val="false"/>
                <w:color w:val="A02020"/>
                <w:sz w:val="19"/>
                <w:szCs w:val="19"/>
              </w:rPr>
              <w:t xml:space="preserve">the dot straddles the organ silhouette; no clone donor reconstructs it</w:t>
            </w:r>
          </w:p>
        </w:tc>
        <w:tc>
          <w:tcPr>
            <w:tcW w:type="dxa" w:w="3200"/>
            <w:tcMar>
              <w:top w:type="dxa" w:w="70"/>
              <w:left w:type="dxa" w:w="110"/>
              <w:bottom w:type="dxa" w:w="70"/>
              <w:right w:type="dxa" w:w="110"/>
            </w:tcMar>
          </w:tcPr>
          <w:p>
            <w:pPr>
              <w:spacing w:after="0"/>
            </w:pPr>
            <w:r>
              <w:rPr>
                <w:b w:val="false"/>
                <w:bCs w:val="false"/>
                <w:color w:val="1E6B2E"/>
                <w:sz w:val="19"/>
                <w:szCs w:val="19"/>
              </w:rPr>
              <w:t xml:space="preserve">anchor (534,337) → (410,320) → (400,378)</w:t>
            </w:r>
          </w:p>
        </w:tc>
      </w:tr>
      <w:tr>
        <w:tc>
          <w:tcPr>
            <w:tcW w:type="dxa" w:w="1500"/>
            <w:shd w:fill="F2F2F2" w:color="auto" w:val="clear"/>
            <w:tcMar>
              <w:top w:type="dxa" w:w="70"/>
              <w:left w:type="dxa" w:w="110"/>
              <w:bottom w:type="dxa" w:w="70"/>
              <w:right w:type="dxa" w:w="110"/>
            </w:tcMar>
          </w:tcPr>
          <w:p>
            <w:pPr>
              <w:spacing w:after="0"/>
            </w:pPr>
            <w:r>
              <w:rPr>
                <w:b/>
                <w:bCs/>
                <w:sz w:val="19"/>
                <w:szCs w:val="19"/>
              </w:rPr>
              <w:t xml:space="preserve">myasthenia p2</w:t>
            </w:r>
          </w:p>
        </w:tc>
        <w:tc>
          <w:tcPr>
            <w:tcW w:type="dxa" w:w="2100"/>
            <w:shd w:fill="F2F2F2" w:color="auto" w:val="clear"/>
            <w:tcMar>
              <w:top w:type="dxa" w:w="70"/>
              <w:left w:type="dxa" w:w="110"/>
              <w:bottom w:type="dxa" w:w="70"/>
              <w:right w:type="dxa" w:w="110"/>
            </w:tcMar>
          </w:tcPr>
          <w:p>
            <w:pPr>
              <w:spacing w:after="0"/>
            </w:pPr>
            <w:r>
              <w:rPr>
                <w:b w:val="false"/>
                <w:bCs w:val="false"/>
                <w:sz w:val="19"/>
                <w:szCs w:val="19"/>
              </w:rPr>
              <w:t xml:space="preserve">Basal lamina</w:t>
            </w:r>
          </w:p>
        </w:tc>
        <w:tc>
          <w:tcPr>
            <w:tcW w:type="dxa" w:w="3200"/>
            <w:shd w:fill="F2F2F2" w:color="auto" w:val="clear"/>
            <w:tcMar>
              <w:top w:type="dxa" w:w="70"/>
              <w:left w:type="dxa" w:w="110"/>
              <w:bottom w:type="dxa" w:w="70"/>
              <w:right w:type="dxa" w:w="110"/>
            </w:tcMar>
          </w:tcPr>
          <w:p>
            <w:pPr>
              <w:spacing w:after="0"/>
            </w:pPr>
            <w:r>
              <w:rPr>
                <w:b w:val="false"/>
                <w:bCs w:val="false"/>
                <w:color w:val="A02020"/>
                <w:sz w:val="19"/>
                <w:szCs w:val="19"/>
              </w:rPr>
              <w:t xml:space="preserve">the column is anatomically inverted — basal lamina lies external to the postsynaptic membrane</w:t>
            </w:r>
          </w:p>
        </w:tc>
        <w:tc>
          <w:tcPr>
            <w:tcW w:type="dxa" w:w="3200"/>
            <w:shd w:fill="F2F2F2" w:color="auto" w:val="clear"/>
            <w:tcMar>
              <w:top w:type="dxa" w:w="70"/>
              <w:left w:type="dxa" w:w="110"/>
              <w:bottom w:type="dxa" w:w="70"/>
              <w:right w:type="dxa" w:w="110"/>
            </w:tcMar>
          </w:tcPr>
          <w:p>
            <w:pPr>
              <w:spacing w:after="0"/>
            </w:pPr>
            <w:r>
              <w:rPr>
                <w:b w:val="false"/>
                <w:bCs w:val="false"/>
                <w:color w:val="1E6B2E"/>
                <w:sz w:val="19"/>
                <w:szCs w:val="19"/>
              </w:rPr>
              <w:t xml:space="preserve">move the label above it; endpoint (264,617)</w:t>
            </w:r>
          </w:p>
        </w:tc>
      </w:tr>
    </w:tbl>
    <w:p>
      <w:pPr>
        <w:spacing w:after="160"/>
      </w:pPr>
      <w:r>
        <w:rPr>
          <w:sz w:val="21"/>
          <w:szCs w:val="21"/>
        </w:rPr>
        <w:t xml:space="preserve">Dr. Kreithen has ruled on the two anatomical questions in that table: the first part of the duodenum is the segment immediately distal to the pylorus (the pylorus is at (140,558), the bulb runs (112,572)→(105,585)), and the basal lamina is the pale lining on the cleft-facing surface of the junctional folds.</w:t>
      </w:r>
    </w:p>
    <w:p>
      <w:pPr>
        <w:spacing w:after="140"/>
      </w:pPr>
      <w:r>
        <w:rPr>
          <w:i/>
          <w:iCs/>
          <w:color w:val="595959"/>
          <w:sz w:val="19"/>
          <w:szCs w:val="19"/>
        </w:rPr>
        <w:t xml:space="preserve">Findings were produced by automated inspection at magnification and re-measured by hand. Rows not listed here are unchanged from the original order and have not been verified.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2026-08-11T01:00:51.752Z</dcterms:created>
  <dcterms:modified xsi:type="dcterms:W3CDTF">2026-08-11T01:00:51.752Z</dcterms:modified>
</cp:coreProperties>
</file>

<file path=docProps/custom.xml><?xml version="1.0" encoding="utf-8"?>
<Properties xmlns="http://schemas.openxmlformats.org/officeDocument/2006/custom-properties" xmlns:vt="http://schemas.openxmlformats.org/officeDocument/2006/docPropsVTypes"/>
</file>