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Learning to Allocate Risk in Options Markets</w:t>
      </w:r>
    </w:p>
    <w:p>
      <w:pPr>
        <w:pStyle w:val="PaperSubtitle"/>
      </w:pPr>
      <w:r>
        <w:t>Contextual Bandits for Trade Sizing and Q-Learning for Capital Allocation</w:t>
      </w:r>
    </w:p>
    <w:p>
      <w:pPr>
        <w:pStyle w:val="PaperAuthor"/>
      </w:pPr>
      <w:r>
        <w:t>Adam Kreitzman and Soo Xin Yang</w:t>
      </w:r>
    </w:p>
    <w:p>
      <w:pPr>
        <w:pStyle w:val="PaperMeta"/>
      </w:pPr>
      <w:r>
        <w:t>MFE 230Z: Deep Learning in Finance</w:t>
      </w:r>
    </w:p>
    <w:p>
      <w:pPr>
        <w:pStyle w:val="PaperMeta"/>
      </w:pPr>
      <w:r>
        <w:t>20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Combining both learners raises Sharpe from 1.088 to 1.726 in a four-way comparison. With bandit entries, Q also exceeds rolling mean–variance allocation: 1.726 versus 1.519.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p>
      <w:pPr>
        <w:pStyle w:val="Normal"/>
      </w:pPr>
      <w:r>
        <w:t xml:space="preserve">Table 1. The motivating equity-spread study and our options extension.</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Normal"/>
      </w:pPr>
      <w:r>
        <w:t xml:space="preserve">Bell et al. [6] develop AlphaGlass, which maps characteristics into additive signals with sparse interactions and optimizes portfolio objectives directly. Their interpretable characteristic-based portfolio choice connects to our Sharpe-based sizing and policy diagnostics. We study a different decision structure: sizing actual option trades and allocating between strategy books through fitted Q-learning.</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p>
      <w:pPr>
        <w:pStyle w:val="Normal"/>
      </w:pPr>
      <w:r>
        <w:t xml:space="preserve">Table 2. Illustrative put pair with matched initial vega.</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p>
      <w:pPr>
        <w:pStyle w:val="Normal"/>
      </w:pPr>
      <w:r>
        <w:t xml:space="preserve">Table 3. Economic exposures of the two retained signals.</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Explaining the straddle account’s profits</w:t>
      </w:r>
    </w:p>
    <w:p>
      <w:pPr>
        <w:pStyle w:val="Normal"/>
      </w:pPr>
      <w:r>
        <w:t xml:space="preserve">The straddle signal forecasts persistent volatility richness. Its economic interpretation should also agree with the profits recorded by the backtester. We examine 2,599 executed straddle cohorts from January 2018 through 29 August 2025, retaining the learned sizing policy. This full-history attribution explains the straddle sleeve; it is separate from the later-period comparisons of learning policies.</w:t>
      </w:r>
    </w:p>
    <w:p>
      <w:pPr>
        <w:pStyle w:val="Figure"/>
      </w:pPr>
      <w:r>
        <w:t xml:space="preserve"/>
      </w:r>
      <w:r>
        <w:drawing>
          <wp:inline distT="0" distB="0" distL="0" distR="0">
            <wp:extent cx="6400800" cy="1935619"/>
            <wp:docPr id="3" name="Figure 3" descr="Full-history straddle account, January 2018–August 2025. The option and stock components are read together; the remaining cash flows reconcile them to profit above cash."/>
            <a:graphic>
              <a:graphicData uri="http://schemas.openxmlformats.org/drawingml/2006/picture">
                <pic:pic>
                  <pic:nvPicPr>
                    <pic:cNvPr id="3" name="straddle_bridge.png"/>
                    <pic:cNvPicPr/>
                  </pic:nvPicPr>
                  <pic:blipFill>
                    <a:blip r:embed="rId6"/>
                    <a:stretch>
                      <a:fillRect/>
                    </a:stretch>
                  </pic:blipFill>
                  <pic:spPr>
                    <a:xfrm>
                      <a:off x="0" y="0"/>
                      <a:ext cx="6400800" cy="1935619"/>
                    </a:xfrm>
                    <a:prstGeom prst="rect">
                      <a:avLst/>
                    </a:prstGeom>
                  </pic:spPr>
                </pic:pic>
              </a:graphicData>
            </a:graphic>
          </wp:inline>
        </w:drawing>
      </w:r>
    </w:p>
    <w:p>
      <w:pPr>
        <w:pStyle w:val="Caption"/>
      </w:pPr>
      <w:r>
        <w:t xml:space="preserve">Figure 3. Full-history straddle account, January 2018–August 2025. The option and stock components are read together; the remaining cash flows reconcile them to profit above cash.</w:t>
      </w:r>
    </w:p>
    <w:p>
      <w:pPr>
        <w:pStyle w:val="Normal"/>
      </w:pPr>
      <w:r>
        <w:t xml:space="preserve">Options after option charges earned $1.74 million; stock hedges before hedge costs earned $1.75 million. Together they earned $3.49 million, reconciled to $3.75 million above cash after the remaining costs, dividends and financing. Positive profits in both components do not establish two independent sources of alpha. Option marks contain time decay, price moves and volatility revaluation; the stock hedge is held to offset option delta.</w:t>
      </w:r>
    </w:p>
    <w:p>
      <w:pPr>
        <w:pStyle w:val="Figure"/>
      </w:pPr>
      <w:r>
        <w:t xml:space="preserve"/>
      </w:r>
      <w:r>
        <w:drawing>
          <wp:inline distT="0" distB="0" distL="0" distR="0">
            <wp:extent cx="6400800" cy="1803042"/>
            <wp:docPr id="4" name="Figure 4" descr="The same 2,599 cohorts grouped by their completed price paths. Combined profit includes option charges but precedes stock-hedge charges, dividends and financing. The grouping is descriptive."/>
            <a:graphic>
              <a:graphicData uri="http://schemas.openxmlformats.org/drawingml/2006/picture">
                <pic:pic>
                  <pic:nvPicPr>
                    <pic:cNvPr id="4" name="straddle_paths.png"/>
                    <pic:cNvPicPr/>
                  </pic:nvPicPr>
                  <pic:blipFill>
                    <a:blip r:embed="rId7"/>
                    <a:stretch>
                      <a:fillRect/>
                    </a:stretch>
                  </pic:blipFill>
                  <pic:spPr>
                    <a:xfrm>
                      <a:off x="0" y="0"/>
                      <a:ext cx="6400800" cy="1803042"/>
                    </a:xfrm>
                    <a:prstGeom prst="rect">
                      <a:avLst/>
                    </a:prstGeom>
                  </pic:spPr>
                </pic:pic>
              </a:graphicData>
            </a:graphic>
          </wp:inline>
        </w:drawing>
      </w:r>
    </w:p>
    <w:p>
      <w:pPr>
        <w:pStyle w:val="Caption"/>
      </w:pPr>
      <w:r>
        <w:t xml:space="preserve">Figure 4. The same 2,599 cohorts grouped by their completed price paths. Combined profit includes option charges but precedes stock-hedge charges, dividends and financing. The grouping is descriptive.</w:t>
      </w:r>
    </w:p>
    <w:p>
      <w:pPr>
        <w:pStyle w:val="Normal"/>
      </w:pPr>
      <w:r>
        <w:t xml:space="preserve">A short straddle has negative gamma. After a rising stock price, the delta hedge generally buys shares; after a fall, it sells. Continuing moves can reward the stock position while creating a larger option loss. Reversals can hurt the hedge while the option retains premium. In these cohorts, more reversing paths earn $4.78 million together; more persistent paths lose $1.29 million. The combined result is the relevant economic object.</w:t>
      </w:r>
    </w:p>
    <w:p>
      <w:pPr>
        <w:pStyle w:val="Normal"/>
      </w:pPr>
      <w:r>
        <w:t xml:space="preserve">Path persistence is the absolute entry-to-exit log return divided by the sum of absolute daily log returns. Values at or below 0.20 define the more reversing group. This grouping uses the completed path to explain results; it is not an available entry feature or a new trading rule.</w:t>
      </w:r>
    </w:p>
    <w:p>
      <w:pPr>
        <w:pStyle w:val="Title"/>
        <w:pageBreakBefore/>
      </w:pPr>
      <w:r>
        <w:t xml:space="preserve">7. Relating implied volatility to realized outcomes</w:t>
      </w:r>
    </w:p>
    <w:p>
      <w:pPr>
        <w:pStyle w:val="Normal"/>
      </w:pPr>
      <w:r>
        <w:t xml:space="preserve">If the strategy earns a premium for selling movement risk, entry IV versus subsequent RV should help organize its outcomes. The diagnostic separates the same 2,599 cohorts by realized path and whether entry straddle IV exceeds the volatility subsequently realized. Both path groups have positive aggregate combined profit when IV exceeds RV and negative profit when it does not.</w:t>
      </w:r>
    </w:p>
    <w:p>
      <w:pPr>
        <w:pStyle w:val="Figure"/>
      </w:pPr>
      <w:r>
        <w:t xml:space="preserve"/>
      </w:r>
      <w:r>
        <w:drawing>
          <wp:inline distT="0" distB="0" distL="0" distR="0">
            <wp:extent cx="6400800" cy="2524259"/>
            <wp:docPr id="5" name="Figure 5" descr="Combined option and hedge profit by completed price path and entry IV versus subsequent RV. These are realized-outcome groups, not new entry screens; totals depend on counts and sizes."/>
            <a:graphic>
              <a:graphicData uri="http://schemas.openxmlformats.org/drawingml/2006/picture">
                <pic:pic>
                  <pic:nvPicPr>
                    <pic:cNvPr id="5" name="straddle_ivrv.png"/>
                    <pic:cNvPicPr/>
                  </pic:nvPicPr>
                  <pic:blipFill>
                    <a:blip r:embed="rId8"/>
                    <a:stretch>
                      <a:fillRect/>
                    </a:stretch>
                  </pic:blipFill>
                  <pic:spPr>
                    <a:xfrm>
                      <a:off x="0" y="0"/>
                      <a:ext cx="6400800" cy="2524259"/>
                    </a:xfrm>
                    <a:prstGeom prst="rect">
                      <a:avLst/>
                    </a:prstGeom>
                  </pic:spPr>
                </pic:pic>
              </a:graphicData>
            </a:graphic>
          </wp:inline>
        </w:drawing>
      </w:r>
    </w:p>
    <w:p>
      <w:pPr>
        <w:pStyle w:val="Caption"/>
      </w:pPr>
      <w:r>
        <w:t xml:space="preserve">Figure 5. Combined option and hedge profit by completed price path and entry IV versus subsequent RV. These are realized-outcome groups, not new entry screens; totals depend on counts and sizes.</w:t>
      </w:r>
    </w:p>
    <w:p>
      <w:pPr>
        <w:pStyle w:val="Normal"/>
      </w:pPr>
      <w:r>
        <w:t xml:space="preserve">Table 4. Completed straddle outcomes by price path and IV versus subsequent RV.</w:t>
      </w:r>
    </w:p>
    <w:tbl>
      <w:tblPr>
        <w:tblW w:w="10080" w:type="dxa"/>
        <w:tblLayout w:type="fixed"/>
        <w:tblBorders>
          <w:top w:val="single" w:sz="6" w:color="111111"/>
          <w:bottom w:val="single" w:sz="6" w:color="111111"/>
          <w:left w:val="nil"/>
          <w:right w:val="nil"/>
          <w:insideH w:val="nil"/>
          <w:insideV w:val="nil"/>
        </w:tblBorders>
      </w:tblPr>
      <w:tblGrid>
        <w:gridCol w:w="2264"/>
        <w:gridCol w:w="1575"/>
        <w:gridCol w:w="1083"/>
        <w:gridCol w:w="2166"/>
        <w:gridCol w:w="2992"/>
      </w:tblGrid>
      <w:tr>
        <w:trPr>
          <w:cantSplit/>
          <w:tblHeader/>
        </w:trPr>
        <w:tc>
          <w:tcPr>
            <w:tcW w:w="2264" w:type="dxa"/>
            <w:tcBorders>
              <w:bottom w:val="single" w:sz="4" w:color="111111"/>
            </w:tcBorders>
          </w:tcPr>
          <w:p>
            <w:pPr>
              <w:pStyle w:val="TableHeader"/>
            </w:pPr>
            <w:r>
              <w:t xml:space="preserve">Price path</w:t>
            </w:r>
          </w:p>
        </w:tc>
        <w:tc>
          <w:tcPr>
            <w:tcW w:w="1575" w:type="dxa"/>
            <w:tcBorders>
              <w:bottom w:val="single" w:sz="4" w:color="111111"/>
            </w:tcBorders>
          </w:tcPr>
          <w:p>
            <w:pPr>
              <w:pStyle w:val="TableHeader"/>
            </w:pPr>
            <w:r>
              <w:t xml:space="preserve">IV vs RV</w:t>
            </w:r>
          </w:p>
        </w:tc>
        <w:tc>
          <w:tcPr>
            <w:tcW w:w="1083" w:type="dxa"/>
            <w:tcBorders>
              <w:bottom w:val="single" w:sz="4" w:color="111111"/>
            </w:tcBorders>
          </w:tcPr>
          <w:p>
            <w:pPr>
              <w:pStyle w:val="TableHeader"/>
            </w:pPr>
            <w:r>
              <w:t xml:space="preserve">Trades</w:t>
            </w:r>
          </w:p>
        </w:tc>
        <w:tc>
          <w:tcPr>
            <w:tcW w:w="2166" w:type="dxa"/>
            <w:tcBorders>
              <w:bottom w:val="single" w:sz="4" w:color="111111"/>
            </w:tcBorders>
          </w:tcPr>
          <w:p>
            <w:pPr>
              <w:pStyle w:val="TableHeader"/>
            </w:pPr>
            <w:r>
              <w:t xml:space="preserve">Profit ($m)</w:t>
            </w:r>
          </w:p>
        </w:tc>
        <w:tc>
          <w:tcPr>
            <w:tcW w:w="2992" w:type="dxa"/>
            <w:tcBorders>
              <w:bottom w:val="single" w:sz="4" w:color="111111"/>
            </w:tcBorders>
          </w:tcPr>
          <w:p>
            <w:pPr>
              <w:pStyle w:val="TableHeader"/>
            </w:pPr>
            <w:r>
              <w:t xml:space="preserve">Mean profit / premium</w:t>
            </w:r>
          </w:p>
        </w:tc>
      </w:tr>
      <w:tr>
        <w:trPr>
          <w:cantSplit/>
        </w:trPr>
        <w:tc>
          <w:tcPr>
            <w:tcW w:w="2264" w:type="dxa"/>
          </w:tcPr>
          <w:p>
            <w:pPr>
              <w:pStyle w:val="TableText"/>
            </w:pPr>
            <w:r>
              <w:t xml:space="preserve">More persistent</w:t>
            </w:r>
          </w:p>
        </w:tc>
        <w:tc>
          <w:tcPr>
            <w:tcW w:w="1575" w:type="dxa"/>
          </w:tcPr>
          <w:p>
            <w:pPr>
              <w:pStyle w:val="TableText"/>
            </w:pPr>
            <w:r>
              <w:t xml:space="preserve">IV &lt; RV</w:t>
            </w:r>
          </w:p>
        </w:tc>
        <w:tc>
          <w:tcPr>
            <w:tcW w:w="1083" w:type="dxa"/>
          </w:tcPr>
          <w:p>
            <w:pPr>
              <w:pStyle w:val="TableText"/>
            </w:pPr>
            <w:r>
              <w:t xml:space="preserve">461</w:t>
            </w:r>
          </w:p>
        </w:tc>
        <w:tc>
          <w:tcPr>
            <w:tcW w:w="2166" w:type="dxa"/>
          </w:tcPr>
          <w:p>
            <w:pPr>
              <w:pStyle w:val="TableText"/>
            </w:pPr>
            <w:r>
              <w:t xml:space="preserve">-4.22</w:t>
            </w:r>
          </w:p>
        </w:tc>
        <w:tc>
          <w:tcPr>
            <w:tcW w:w="2992" w:type="dxa"/>
          </w:tcPr>
          <w:p>
            <w:pPr>
              <w:pStyle w:val="TableText"/>
            </w:pPr>
            <w:r>
              <w:t xml:space="preserve">-36.9%</w:t>
            </w:r>
          </w:p>
        </w:tc>
      </w:tr>
      <w:tr>
        <w:trPr>
          <w:cantSplit/>
        </w:trPr>
        <w:tc>
          <w:tcPr>
            <w:tcW w:w="2264" w:type="dxa"/>
          </w:tcPr>
          <w:p>
            <w:pPr>
              <w:pStyle w:val="TableText"/>
            </w:pPr>
            <w:r>
              <w:t xml:space="preserve">More persistent</w:t>
            </w:r>
          </w:p>
        </w:tc>
        <w:tc>
          <w:tcPr>
            <w:tcW w:w="1575" w:type="dxa"/>
          </w:tcPr>
          <w:p>
            <w:pPr>
              <w:pStyle w:val="TableText"/>
            </w:pPr>
            <w:r>
              <w:t xml:space="preserve">IV ≥ RV</w:t>
            </w:r>
          </w:p>
        </w:tc>
        <w:tc>
          <w:tcPr>
            <w:tcW w:w="1083" w:type="dxa"/>
          </w:tcPr>
          <w:p>
            <w:pPr>
              <w:pStyle w:val="TableText"/>
            </w:pPr>
            <w:r>
              <w:t xml:space="preserve">846</w:t>
            </w:r>
          </w:p>
        </w:tc>
        <w:tc>
          <w:tcPr>
            <w:tcW w:w="2166" w:type="dxa"/>
          </w:tcPr>
          <w:p>
            <w:pPr>
              <w:pStyle w:val="TableText"/>
            </w:pPr>
            <w:r>
              <w:t xml:space="preserve">+2.93</w:t>
            </w:r>
          </w:p>
        </w:tc>
        <w:tc>
          <w:tcPr>
            <w:tcW w:w="2992" w:type="dxa"/>
          </w:tcPr>
          <w:p>
            <w:pPr>
              <w:pStyle w:val="TableText"/>
            </w:pPr>
            <w:r>
              <w:t xml:space="preserve">+13.0%</w:t>
            </w:r>
          </w:p>
        </w:tc>
      </w:tr>
      <w:tr>
        <w:trPr>
          <w:cantSplit/>
        </w:trPr>
        <w:tc>
          <w:tcPr>
            <w:tcW w:w="2264" w:type="dxa"/>
          </w:tcPr>
          <w:p>
            <w:pPr>
              <w:pStyle w:val="TableText"/>
            </w:pPr>
            <w:r>
              <w:t xml:space="preserve">More reversing</w:t>
            </w:r>
          </w:p>
        </w:tc>
        <w:tc>
          <w:tcPr>
            <w:tcW w:w="1575" w:type="dxa"/>
          </w:tcPr>
          <w:p>
            <w:pPr>
              <w:pStyle w:val="TableText"/>
            </w:pPr>
            <w:r>
              <w:t xml:space="preserve">IV &lt; RV</w:t>
            </w:r>
          </w:p>
        </w:tc>
        <w:tc>
          <w:tcPr>
            <w:tcW w:w="1083" w:type="dxa"/>
          </w:tcPr>
          <w:p>
            <w:pPr>
              <w:pStyle w:val="TableText"/>
            </w:pPr>
            <w:r>
              <w:t xml:space="preserve">409</w:t>
            </w:r>
          </w:p>
        </w:tc>
        <w:tc>
          <w:tcPr>
            <w:tcW w:w="2166" w:type="dxa"/>
          </w:tcPr>
          <w:p>
            <w:pPr>
              <w:pStyle w:val="TableText"/>
            </w:pPr>
            <w:r>
              <w:t xml:space="preserve">-1.31</w:t>
            </w:r>
          </w:p>
        </w:tc>
        <w:tc>
          <w:tcPr>
            <w:tcW w:w="2992" w:type="dxa"/>
          </w:tcPr>
          <w:p>
            <w:pPr>
              <w:pStyle w:val="TableText"/>
            </w:pPr>
            <w:r>
              <w:t xml:space="preserve">-15.3%</w:t>
            </w:r>
          </w:p>
        </w:tc>
      </w:tr>
      <w:tr>
        <w:trPr>
          <w:cantSplit/>
        </w:trPr>
        <w:tc>
          <w:tcPr>
            <w:tcW w:w="2264" w:type="dxa"/>
          </w:tcPr>
          <w:p>
            <w:pPr>
              <w:pStyle w:val="TableText"/>
            </w:pPr>
            <w:r>
              <w:t xml:space="preserve">More reversing</w:t>
            </w:r>
          </w:p>
        </w:tc>
        <w:tc>
          <w:tcPr>
            <w:tcW w:w="1575" w:type="dxa"/>
          </w:tcPr>
          <w:p>
            <w:pPr>
              <w:pStyle w:val="TableText"/>
            </w:pPr>
            <w:r>
              <w:t xml:space="preserve">IV ≥ RV</w:t>
            </w:r>
          </w:p>
        </w:tc>
        <w:tc>
          <w:tcPr>
            <w:tcW w:w="1083" w:type="dxa"/>
          </w:tcPr>
          <w:p>
            <w:pPr>
              <w:pStyle w:val="TableText"/>
            </w:pPr>
            <w:r>
              <w:t xml:space="preserve">883</w:t>
            </w:r>
          </w:p>
        </w:tc>
        <w:tc>
          <w:tcPr>
            <w:tcW w:w="2166" w:type="dxa"/>
          </w:tcPr>
          <w:p>
            <w:pPr>
              <w:pStyle w:val="TableText"/>
            </w:pPr>
            <w:r>
              <w:t xml:space="preserve">+6.09</w:t>
            </w:r>
          </w:p>
        </w:tc>
        <w:tc>
          <w:tcPr>
            <w:tcW w:w="2992" w:type="dxa"/>
          </w:tcPr>
          <w:p>
            <w:pPr>
              <w:pStyle w:val="TableText"/>
            </w:pPr>
            <w:r>
              <w:t xml:space="preserve">+25.4%</w:t>
            </w:r>
          </w:p>
        </w:tc>
      </w:tr>
    </w:tbl>
    <w:p>
      <w:pPr>
        <w:pStyle w:val="TableGap"/>
      </w:pPr>
      <w:r>
        <w:t xml:space="preserve"/>
      </w:r>
    </w:p>
    <w:p>
      <w:pPr>
        <w:pStyle w:val="Normal"/>
      </w:pPr>
      <w:r>
        <w:t xml:space="preserve">Entry IV here is the common annualized European, dividend-escrow volatility that reprices the combined call-and-put entry midpoint premium. Subsequent RV is the square root of 252 times mean squared daily log returns, from entry close to actual exit close, without subtracting the sample mean. The signal itself continues to use ATM-call IV; the common straddle IV is only an attribution measure.</w:t>
      </w:r>
    </w:p>
    <w:p>
      <w:pPr>
        <w:pStyle w:val="Normal"/>
      </w:pPr>
      <w:r>
        <w:t xml:space="preserve">The relation is not an exact profit identity. There are 220 losing cohorts even with entry IV above subsequent RV. Discrete delta hedging, jumps, changing gamma and execution charges matter. Calendar-time annualization changes 69 IV–RV classifications, and a dividend adjustment changes six; three cohorts exited early. The normalized profit column also does not match risk exposure across trades.</w:t>
      </w:r>
    </w:p>
    <w:p>
      <w:pPr>
        <w:pStyle w:val="Normal"/>
      </w:pPr>
      <w:r>
        <w:t xml:space="preserve">These are explanations using realized outcomes, not forecasts. They support the economic motivation for a completed-outcome RV − IV memory without showing that today’s IV–RV gap is known in advance. They also clarify why a positive historical straddle return alone does not establish alpha after compensation for volatility risk.</w:t>
      </w:r>
    </w:p>
    <w:p>
      <w:pPr>
        <w:pStyle w:val="Title"/>
        <w:pageBreakBefore/>
      </w:pPr>
      <w:r>
        <w:t xml:space="preserve">8. Reading actual option and hedge paths</w:t>
      </w:r>
    </w:p>
    <w:p>
      <w:pPr>
        <w:pStyle w:val="Normal"/>
      </w:pPr>
      <w:r>
        <w:t xml:space="preserve">Two contrasting historical cohorts make the accounting concrete. The left column was selected for a large stock-hedge gain; the right for a large hedge loss. Each panel uses the stock position already carried into that session, followed by the hedge adjustment at the close. These illustrations are deliberately selected examples, not representative performance estimates.</w:t>
      </w:r>
    </w:p>
    <w:p>
      <w:pPr>
        <w:pStyle w:val="Figure"/>
      </w:pPr>
      <w:r>
        <w:t xml:space="preserve"/>
      </w:r>
      <w:r>
        <w:drawing>
          <wp:inline distT="0" distB="0" distL="0" distR="0">
            <wp:extent cx="6400800" cy="4146997"/>
            <wp:docPr id="6" name="Figure 6" descr="Two selected cohorts: a large hedge gain (left) and loss (right). Rows show spot versus strike, shares carried into each session, and cumulative option, stock and combined profit. Security IDs are stable identifiers."/>
            <a:graphic>
              <a:graphicData uri="http://schemas.openxmlformats.org/drawingml/2006/picture">
                <pic:pic>
                  <pic:nvPicPr>
                    <pic:cNvPr id="6" name="straddle_examples.png"/>
                    <pic:cNvPicPr/>
                  </pic:nvPicPr>
                  <pic:blipFill>
                    <a:blip r:embed="rId9"/>
                    <a:stretch>
                      <a:fillRect/>
                    </a:stretch>
                  </pic:blipFill>
                  <pic:spPr>
                    <a:xfrm>
                      <a:off x="0" y="0"/>
                      <a:ext cx="6400800" cy="4146997"/>
                    </a:xfrm>
                    <a:prstGeom prst="rect">
                      <a:avLst/>
                    </a:prstGeom>
                  </pic:spPr>
                </pic:pic>
              </a:graphicData>
            </a:graphic>
          </wp:inline>
        </w:drawing>
      </w:r>
    </w:p>
    <w:p>
      <w:pPr>
        <w:pStyle w:val="Caption"/>
      </w:pPr>
      <w:r>
        <w:t xml:space="preserve">Figure 6. Two selected cohorts: a large hedge gain (left) and loss (right). Rows show spot versus strike, shares carried into each session, and cumulative option, stock and combined profit. Security IDs are stable identifiers.</w:t>
      </w:r>
    </w:p>
    <w:p>
      <w:pPr>
        <w:pStyle w:val="Normal"/>
      </w:pPr>
      <w:r>
        <w:t xml:space="preserve">The stock hedge is not an independent trend strategy. A session’s stock profit is shares carried into the session multiplied by the price change; the next close’s shares control subsequent exposure. The lower panels therefore show the option and stock profits together. Their offset explains why neither the sign of hedge profit nor option premium retained can establish the profitability of a delta-hedged short.</w:t>
      </w:r>
    </w:p>
    <w:p>
      <w:pPr>
        <w:pStyle w:val="Normal"/>
      </w:pPr>
      <w:r>
        <w:t xml:space="preserve">The attribution also puts a limit on the gamma-versus-theta shorthand. We record actual option marks, stock hedge cash flows and costs rather than infer profit from one constant gamma or an unweighted RV − IV difference. A Greek expansion is useful intuition, but the ledger is the profit measure. Appendix F describes the recovered-quote reconciliation and the scope of reproduction.</w:t>
      </w:r>
    </w:p>
    <w:p>
      <w:pPr>
        <w:pStyle w:val="Title"/>
        <w:pageBreakBefore/>
      </w:pPr>
      <w:r>
        <w:t xml:space="preserve">9.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7" name="Figure 7"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7" name="refit_timeline.png"/>
                    <pic:cNvPicPr/>
                  </pic:nvPicPr>
                  <pic:blipFill>
                    <a:blip r:embed="rId10"/>
                    <a:stretch>
                      <a:fillRect/>
                    </a:stretch>
                  </pic:blipFill>
                  <pic:spPr>
                    <a:xfrm>
                      <a:off x="0" y="0"/>
                      <a:ext cx="6400800" cy="2025771"/>
                    </a:xfrm>
                    <a:prstGeom prst="rect">
                      <a:avLst/>
                    </a:prstGeom>
                  </pic:spPr>
                </pic:pic>
              </a:graphicData>
            </a:graphic>
          </wp:inline>
        </w:drawing>
      </w:r>
    </w:p>
    <w:p>
      <w:pPr>
        <w:pStyle w:val="Caption"/>
      </w:pPr>
      <w:r>
        <w:t xml:space="preserve">Figure 7.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10.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8" name="Figure 8"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8" name="feature_validation.png"/>
                    <pic:cNvPicPr/>
                  </pic:nvPicPr>
                  <pic:blipFill>
                    <a:blip r:embed="rId11"/>
                    <a:stretch>
                      <a:fillRect/>
                    </a:stretch>
                  </pic:blipFill>
                  <pic:spPr>
                    <a:xfrm>
                      <a:off x="0" y="0"/>
                      <a:ext cx="6400800" cy="3155324"/>
                    </a:xfrm>
                    <a:prstGeom prst="rect">
                      <a:avLst/>
                    </a:prstGeom>
                  </pic:spPr>
                </pic:pic>
              </a:graphicData>
            </a:graphic>
          </wp:inline>
        </w:drawing>
      </w:r>
    </w:p>
    <w:p>
      <w:pPr>
        <w:pStyle w:val="Caption"/>
      </w:pPr>
      <w:r>
        <w:t xml:space="preserve">Figure 8.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11.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9" name="Figure 9"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9" name="entry_policy.png"/>
                    <pic:cNvPicPr/>
                  </pic:nvPicPr>
                  <pic:blipFill>
                    <a:blip r:embed="rId12"/>
                    <a:stretch>
                      <a:fillRect/>
                    </a:stretch>
                  </pic:blipFill>
                  <pic:spPr>
                    <a:xfrm>
                      <a:off x="0" y="0"/>
                      <a:ext cx="6400800" cy="3017444"/>
                    </a:xfrm>
                    <a:prstGeom prst="rect">
                      <a:avLst/>
                    </a:prstGeom>
                  </pic:spPr>
                </pic:pic>
              </a:graphicData>
            </a:graphic>
          </wp:inline>
        </w:drawing>
      </w:r>
    </w:p>
    <w:p>
      <w:pPr>
        <w:pStyle w:val="Caption"/>
      </w:pPr>
      <w:r>
        <w:t xml:space="preserve">Figure 9.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12. Does learned entry sizing improve returns?</w:t>
      </w:r>
    </w:p>
    <w:p>
      <w:pPr>
        <w:pStyle w:val="Figure"/>
      </w:pPr>
      <w:r>
        <w:t xml:space="preserve"/>
      </w:r>
      <w:r>
        <w:drawing>
          <wp:inline distT="0" distB="0" distL="0" distR="0">
            <wp:extent cx="6400800" cy="2975020"/>
            <wp:docPr id="10" name="Figure 10"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10" name="entry_curves.png"/>
                    <pic:cNvPicPr/>
                  </pic:nvPicPr>
                  <pic:blipFill>
                    <a:blip r:embed="rId13"/>
                    <a:stretch>
                      <a:fillRect/>
                    </a:stretch>
                  </pic:blipFill>
                  <pic:spPr>
                    <a:xfrm>
                      <a:off x="0" y="0"/>
                      <a:ext cx="6400800" cy="2975020"/>
                    </a:xfrm>
                    <a:prstGeom prst="rect">
                      <a:avLst/>
                    </a:prstGeom>
                  </pic:spPr>
                </pic:pic>
              </a:graphicData>
            </a:graphic>
          </wp:inline>
        </w:drawing>
      </w:r>
    </w:p>
    <w:p>
      <w:pPr>
        <w:pStyle w:val="Caption"/>
      </w:pPr>
      <w:r>
        <w:t xml:space="preserve">Figure 10. Profit above cash since January 2022. Upper right: total straddle profits. Lower right: incremental straddle profit, bandit minus fixed full sizing. Series subtract their 2021 closing values and retain carried positions. Differences reflect both sizing and admission.</w:t>
      </w:r>
    </w:p>
    <w:p>
      <w:pPr>
        <w:pStyle w:val="Normal"/>
      </w:pPr>
      <w:r>
        <w:t xml:space="preserve">Table 5. Entry-sizing policies in validation and later evaluation.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13. Explaining the bandits’ decisions</w:t>
      </w:r>
    </w:p>
    <w:p>
      <w:pPr>
        <w:pStyle w:val="Figure"/>
      </w:pPr>
      <w:r>
        <w:t xml:space="preserve"/>
      </w:r>
      <w:r>
        <w:drawing>
          <wp:inline distT="0" distB="0" distL="0" distR="0">
            <wp:extent cx="6400800" cy="2656836"/>
            <wp:docPr id="11" name="Figure 11"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11" name="entry_explanations.png"/>
                    <pic:cNvPicPr/>
                  </pic:nvPicPr>
                  <pic:blipFill>
                    <a:blip r:embed="rId14"/>
                    <a:stretch>
                      <a:fillRect/>
                    </a:stretch>
                  </pic:blipFill>
                  <pic:spPr>
                    <a:xfrm>
                      <a:off x="0" y="0"/>
                      <a:ext cx="6400800" cy="2656836"/>
                    </a:xfrm>
                    <a:prstGeom prst="rect">
                      <a:avLst/>
                    </a:prstGeom>
                  </pic:spPr>
                </pic:pic>
              </a:graphicData>
            </a:graphic>
          </wp:inline>
        </w:drawing>
      </w:r>
    </w:p>
    <w:p>
      <w:pPr>
        <w:pStyle w:val="Caption"/>
      </w:pPr>
      <w:r>
        <w:t xml:space="preserve">Figure 11.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p>
      <w:pPr>
        <w:pStyle w:val="Normal"/>
      </w:pPr>
      <w:r>
        <w:t xml:space="preserve">Table 6. Later entry overlap between bandit and fixed-full portfolios.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14.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λ = 0, the directive is profit alone: additional normalized return earns reward without an explicit charge for the accompanying volatility. A higher-profit, higher-variance strategy can therefore attract capital even when its risk-adjusted performance is weaker. This objective does not maximize Sharpe. The discount γ = 0.99 separately weights continuation value; it is unchanged across risk preferences.</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15. Risk preference changes the allocation tradeoff</w:t>
      </w:r>
    </w:p>
    <w:p>
      <w:pPr>
        <w:pStyle w:val="Figure"/>
      </w:pPr>
      <w:r>
        <w:t xml:space="preserve"/>
      </w:r>
      <w:r>
        <w:drawing>
          <wp:inline distT="0" distB="0" distL="0" distR="0">
            <wp:extent cx="6400800" cy="3335628"/>
            <wp:docPr id="12" name="Figure 12"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12" name="allocation_risk.png"/>
                    <pic:cNvPicPr/>
                  </pic:nvPicPr>
                  <pic:blipFill>
                    <a:blip r:embed="rId15"/>
                    <a:stretch>
                      <a:fillRect/>
                    </a:stretch>
                  </pic:blipFill>
                  <pic:spPr>
                    <a:xfrm>
                      <a:off x="0" y="0"/>
                      <a:ext cx="6400800" cy="3335628"/>
                    </a:xfrm>
                    <a:prstGeom prst="rect">
                      <a:avLst/>
                    </a:prstGeom>
                  </pic:spPr>
                </pic:pic>
              </a:graphicData>
            </a:graphic>
          </wp:inline>
        </w:drawing>
      </w:r>
    </w:p>
    <w:p>
      <w:pPr>
        <w:pStyle w:val="Caption"/>
      </w:pPr>
      <w:r>
        <w:t xml:space="preserve">Figure 12. Bandit-managed source portfolios; nine-input Q state and γ = 0.99. Gray labels are fixed straddle percentages; the remainder goes to put pairs. Lines connect discrete policies. Both axes have the same scales across periods; 2025 ends in August.</w:t>
      </w:r>
    </w:p>
    <w:p>
      <w:pPr>
        <w:pStyle w:val="Normal"/>
      </w:pPr>
      <w:r>
        <w:t xml:space="preserve">Table 7. Q-allocation outcomes under four reward preferences.</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At λ = 0, the learner aggressively pursues profit through the higher-dollar, higher-variance straddle strategy. It chooses straddles alone in 138 of 191 later decisions, with a mean straddle target of 73.2%, versus 24.9% at λ = 0.20 and 16.9% at λ = 1. Validation Sharpe is 1.427, but later Sharpe falls to 0.671. When straddle performance weakens, this concentration becomes costly: the zero-penalty portfolio loses approximately $331,000 above cash in 2025.</w:t>
      </w:r>
    </w:p>
    <w:p>
      <w:pPr>
        <w:pStyle w:val="Normal"/>
      </w:pPr>
      <w:r>
        <w:t xml:space="preserve">The problem also involves when capital is committed. A fixed 75% allocation to straddles achieves later Sharpe 1.084, so average exposure alone does not explain the weaker Q result. The profit-only learner can respond to state, but its learned timing does not distinguish attractive straddle opportunities well enough in the later period. Positive penalties make large fluctuations costly and lead to more selective straddle exposure. Increasing Bellman updates from 200 to 500, 1,000 and 2,000 changes no later decision for these settings. This check points to the reward and learned allocation rule, rather than too few iterations.</w:t>
      </w:r>
    </w:p>
    <w:p>
      <w:pPr>
        <w:pStyle w:val="Title"/>
        <w:pageBreakBefore/>
      </w:pPr>
      <w:r>
        <w:t xml:space="preserve">16.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13" name="Figure 13"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13" name="allocation_schedule.png"/>
                    <pic:cNvPicPr/>
                  </pic:nvPicPr>
                  <pic:blipFill>
                    <a:blip r:embed="rId16"/>
                    <a:stretch>
                      <a:fillRect/>
                    </a:stretch>
                  </pic:blipFill>
                  <pic:spPr>
                    <a:xfrm>
                      <a:off x="0" y="0"/>
                      <a:ext cx="6400800" cy="2253803"/>
                    </a:xfrm>
                    <a:prstGeom prst="rect">
                      <a:avLst/>
                    </a:prstGeom>
                  </pic:spPr>
                </pic:pic>
              </a:graphicData>
            </a:graphic>
          </wp:inline>
        </w:drawing>
      </w:r>
    </w:p>
    <w:p>
      <w:pPr>
        <w:pStyle w:val="Caption"/>
      </w:pPr>
      <w:r>
        <w:t xml:space="preserve">Figure 13.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4" name="Figure 14"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4" name="conditional_risk.png"/>
                    <pic:cNvPicPr/>
                  </pic:nvPicPr>
                  <pic:blipFill>
                    <a:blip r:embed="rId17"/>
                    <a:stretch>
                      <a:fillRect/>
                    </a:stretch>
                  </pic:blipFill>
                  <pic:spPr>
                    <a:xfrm>
                      <a:off x="0" y="0"/>
                      <a:ext cx="6400800" cy="2524259"/>
                    </a:xfrm>
                    <a:prstGeom prst="rect">
                      <a:avLst/>
                    </a:prstGeom>
                  </pic:spPr>
                </pic:pic>
              </a:graphicData>
            </a:graphic>
          </wp:inline>
        </w:drawing>
      </w:r>
    </w:p>
    <w:p>
      <w:pPr>
        <w:pStyle w:val="Caption"/>
      </w:pPr>
      <w:r>
        <w:t xml:space="preserve">Figure 14.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Put pairs average −0.09 basis points on the first set and +0.31 on the second. These are realized conditional statistics on noncontiguous dates, not causal estimates or standalone strategy Sharpes. Source costs are included; outer resizing charges are excluded.</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17. Separating the two learning layers</w:t>
      </w:r>
    </w:p>
    <w:p>
      <w:pPr>
        <w:pStyle w:val="Figure"/>
      </w:pPr>
      <w:r>
        <w:t xml:space="preserve"/>
      </w:r>
      <w:r>
        <w:drawing>
          <wp:inline distT="0" distB="0" distL="0" distR="0">
            <wp:extent cx="6400800" cy="2704563"/>
            <wp:docPr id="15" name="Figure 15"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5" name="factorial.png"/>
                    <pic:cNvPicPr/>
                  </pic:nvPicPr>
                  <pic:blipFill>
                    <a:blip r:embed="rId18"/>
                    <a:stretch>
                      <a:fillRect/>
                    </a:stretch>
                  </pic:blipFill>
                  <pic:spPr>
                    <a:xfrm>
                      <a:off x="0" y="0"/>
                      <a:ext cx="6400800" cy="2704563"/>
                    </a:xfrm>
                    <a:prstGeom prst="rect">
                      <a:avLst/>
                    </a:prstGeom>
                  </pic:spPr>
                </pic:pic>
              </a:graphicData>
            </a:graphic>
          </wp:inline>
        </w:drawing>
      </w:r>
    </w:p>
    <w:p>
      <w:pPr>
        <w:pStyle w:val="Caption"/>
      </w:pPr>
      <w:r>
        <w:t xml:space="preserve">Figure 15. Cell values are annualized excess Sharpe at λ = 0.20. Fixed entry size is 100%; fixed capital allocation is 50/50. Q is independently fitted on each entry family’s actual returns and costs.</w:t>
      </w:r>
    </w:p>
    <w:p>
      <w:pPr>
        <w:pStyle w:val="Normal"/>
      </w:pPr>
      <w:r>
        <w:t xml:space="preserve">Table 8. Separating learned entry sizing and learned capital allocation.</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p>
      <w:pPr>
        <w:pStyle w:val="Normal"/>
      </w:pPr>
      <w:r>
        <w:t xml:space="preserve">Table 9. Allocation with constant 75% entry sizing.</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18. Comparing dynamic allocation methods</w:t>
      </w:r>
    </w:p>
    <w:p>
      <w:pPr>
        <w:pStyle w:val="Normal"/>
      </w:pPr>
      <w:r>
        <w:t xml:space="preserve">A dynamic policy might outperform fixed weights simply by responding to recent returns. We therefore adapt the minimum-variance, maximum-Sharpe and mean–variance portfolio objectives of Caner et al. [5] to our two frozen bandit portfolios. This comparison asks whether Q improves on conventional dynamic allocation as well.</w:t>
      </w:r>
    </w:p>
    <w:p>
      <w:pPr>
        <w:pStyle w:val="Heading2"/>
      </w:pPr>
      <w:r>
        <w:t xml:space="preserve">The same budget, opportunities and execution</w:t>
      </w:r>
    </w:p>
    <w:p>
      <w:pPr>
        <w:pStyle w:val="Normal"/>
      </w:pPr>
      <w:r>
        <w:t xml:space="preserve">All methods choose among the same seven capital splits, use one $10 million budget and pay the same source trading and additional resizing costs. Estimates use Q’s preceding 104 completed weeks, with a minimum of 52, monthly refits and the same 50/50 warmup. Within each objective, 2018–2021 Sharpe selects sample covariance or linear Ledoit–Wolf shrinkage; that choice remains fixed for the later period. This adapts their objectives rather than replicating their stock screens, nonlinear shrinkage or 15-year estimation window.</w:t>
      </w:r>
    </w:p>
    <w:p>
      <w:pPr>
        <w:pStyle w:val="Normal"/>
      </w:pPr>
      <w:r>
        <w:t xml:space="preserve">Table 10. Q-learning and conventional dynamic allocation benchmarks.</w:t>
      </w:r>
    </w:p>
    <w:tbl>
      <w:tblPr>
        <w:tblW w:w="10080" w:type="dxa"/>
        <w:tblLayout w:type="fixed"/>
        <w:tblBorders>
          <w:top w:val="single" w:sz="6" w:color="111111"/>
          <w:bottom w:val="single" w:sz="6" w:color="111111"/>
          <w:left w:val="nil"/>
          <w:right w:val="nil"/>
          <w:insideH w:val="nil"/>
          <w:insideV w:val="nil"/>
        </w:tblBorders>
      </w:tblPr>
      <w:tblGrid>
        <w:gridCol w:w="4292"/>
        <w:gridCol w:w="1418"/>
        <w:gridCol w:w="1418"/>
        <w:gridCol w:w="1536"/>
        <w:gridCol w:w="1418"/>
      </w:tblGrid>
      <w:tr>
        <w:trPr>
          <w:cantSplit/>
          <w:tblHeader/>
        </w:trPr>
        <w:tc>
          <w:tcPr>
            <w:tcW w:w="4292" w:type="dxa"/>
            <w:tcBorders>
              <w:bottom w:val="single" w:sz="4" w:color="111111"/>
            </w:tcBorders>
          </w:tcPr>
          <w:p>
            <w:pPr>
              <w:pStyle w:val="TableHeader"/>
            </w:pPr>
            <w:r>
              <w:t xml:space="preserve">Capital allocator</w:t>
            </w:r>
          </w:p>
        </w:tc>
        <w:tc>
          <w:tcPr>
            <w:tcW w:w="1418" w:type="dxa"/>
            <w:tcBorders>
              <w:bottom w:val="single" w:sz="4" w:color="111111"/>
            </w:tcBorders>
          </w:tcPr>
          <w:p>
            <w:pPr>
              <w:pStyle w:val="TableHeader"/>
            </w:pPr>
            <w:r>
              <w:t xml:space="preserve">2018–21 S</w:t>
            </w:r>
          </w:p>
        </w:tc>
        <w:tc>
          <w:tcPr>
            <w:tcW w:w="1418" w:type="dxa"/>
            <w:tcBorders>
              <w:bottom w:val="single" w:sz="4" w:color="111111"/>
            </w:tcBorders>
          </w:tcPr>
          <w:p>
            <w:pPr>
              <w:pStyle w:val="TableHeader"/>
            </w:pPr>
            <w:r>
              <w:t xml:space="preserve">2022–25 S</w:t>
            </w:r>
          </w:p>
        </w:tc>
        <w:tc>
          <w:tcPr>
            <w:tcW w:w="1536" w:type="dxa"/>
            <w:tcBorders>
              <w:bottom w:val="single" w:sz="4" w:color="111111"/>
            </w:tcBorders>
          </w:tcPr>
          <w:p>
            <w:pPr>
              <w:pStyle w:val="TableHeader"/>
            </w:pPr>
            <w:r>
              <w:t xml:space="preserve">Later profit</w:t>
            </w:r>
          </w:p>
        </w:tc>
        <w:tc>
          <w:tcPr>
            <w:tcW w:w="1418" w:type="dxa"/>
            <w:tcBorders>
              <w:bottom w:val="single" w:sz="4" w:color="111111"/>
            </w:tcBorders>
          </w:tcPr>
          <w:p>
            <w:pPr>
              <w:pStyle w:val="TableHeader"/>
            </w:pPr>
            <w:r>
              <w:t xml:space="preserve">Later σ (%)</w:t>
            </w:r>
          </w:p>
        </w:tc>
      </w:tr>
      <w:tr>
        <w:trPr>
          <w:cantSplit/>
        </w:trPr>
        <w:tc>
          <w:tcPr>
            <w:tcW w:w="4292" w:type="dxa"/>
          </w:tcPr>
          <w:p>
            <w:pPr>
              <w:pStyle w:val="TableText"/>
            </w:pPr>
            <w:r>
              <w:t xml:space="preserve">Fixed 50/50</w:t>
            </w:r>
          </w:p>
        </w:tc>
        <w:tc>
          <w:tcPr>
            <w:tcW w:w="1418" w:type="dxa"/>
          </w:tcPr>
          <w:p>
            <w:pPr>
              <w:pStyle w:val="TableText"/>
            </w:pPr>
            <w:r>
              <w:t xml:space="preserve">0.804</w:t>
            </w:r>
          </w:p>
        </w:tc>
        <w:tc>
          <w:tcPr>
            <w:tcW w:w="1418" w:type="dxa"/>
          </w:tcPr>
          <w:p>
            <w:pPr>
              <w:pStyle w:val="TableText"/>
            </w:pPr>
            <w:r>
              <w:t xml:space="preserve">1.167</w:t>
            </w:r>
          </w:p>
        </w:tc>
        <w:tc>
          <w:tcPr>
            <w:tcW w:w="1536" w:type="dxa"/>
          </w:tcPr>
          <w:p>
            <w:pPr>
              <w:pStyle w:val="TableText"/>
            </w:pPr>
            <w:r>
              <w:t xml:space="preserve">$1.238m</w:t>
            </w:r>
          </w:p>
        </w:tc>
        <w:tc>
          <w:tcPr>
            <w:tcW w:w="1418" w:type="dxa"/>
          </w:tcPr>
          <w:p>
            <w:pPr>
              <w:pStyle w:val="TableText"/>
            </w:pPr>
            <w:r>
              <w:t xml:space="preserve">1.973</w:t>
            </w:r>
          </w:p>
        </w:tc>
      </w:tr>
      <w:tr>
        <w:trPr>
          <w:cantSplit/>
        </w:trPr>
        <w:tc>
          <w:tcPr>
            <w:tcW w:w="4292" w:type="dxa"/>
          </w:tcPr>
          <w:p>
            <w:pPr>
              <w:pStyle w:val="TableText"/>
            </w:pPr>
            <w:r>
              <w:t xml:space="preserve">Minimum variance</w:t>
            </w:r>
          </w:p>
        </w:tc>
        <w:tc>
          <w:tcPr>
            <w:tcW w:w="1418" w:type="dxa"/>
          </w:tcPr>
          <w:p>
            <w:pPr>
              <w:pStyle w:val="TableText"/>
            </w:pPr>
            <w:r>
              <w:t xml:space="preserve">0.316</w:t>
            </w:r>
          </w:p>
        </w:tc>
        <w:tc>
          <w:tcPr>
            <w:tcW w:w="1418" w:type="dxa"/>
          </w:tcPr>
          <w:p>
            <w:pPr>
              <w:pStyle w:val="TableText"/>
            </w:pPr>
            <w:r>
              <w:t xml:space="preserve">1.329</w:t>
            </w:r>
          </w:p>
        </w:tc>
        <w:tc>
          <w:tcPr>
            <w:tcW w:w="1536" w:type="dxa"/>
          </w:tcPr>
          <w:p>
            <w:pPr>
              <w:pStyle w:val="TableText"/>
            </w:pPr>
            <w:r>
              <w:t xml:space="preserve">$0.284m</w:t>
            </w:r>
          </w:p>
        </w:tc>
        <w:tc>
          <w:tcPr>
            <w:tcW w:w="1418" w:type="dxa"/>
          </w:tcPr>
          <w:p>
            <w:pPr>
              <w:pStyle w:val="TableText"/>
            </w:pPr>
            <w:r>
              <w:t xml:space="preserve">0.438</w:t>
            </w:r>
          </w:p>
        </w:tc>
      </w:tr>
      <w:tr>
        <w:trPr>
          <w:cantSplit/>
        </w:trPr>
        <w:tc>
          <w:tcPr>
            <w:tcW w:w="4292" w:type="dxa"/>
          </w:tcPr>
          <w:p>
            <w:pPr>
              <w:pStyle w:val="TableText"/>
            </w:pPr>
            <w:r>
              <w:t xml:space="preserve">Maximum Sharpe</w:t>
            </w:r>
          </w:p>
        </w:tc>
        <w:tc>
          <w:tcPr>
            <w:tcW w:w="1418" w:type="dxa"/>
          </w:tcPr>
          <w:p>
            <w:pPr>
              <w:pStyle w:val="TableText"/>
            </w:pPr>
            <w:r>
              <w:t xml:space="preserve">0.189</w:t>
            </w:r>
          </w:p>
        </w:tc>
        <w:tc>
          <w:tcPr>
            <w:tcW w:w="1418" w:type="dxa"/>
          </w:tcPr>
          <w:p>
            <w:pPr>
              <w:pStyle w:val="TableText"/>
            </w:pPr>
            <w:r>
              <w:t xml:space="preserve">0.659</w:t>
            </w:r>
          </w:p>
        </w:tc>
        <w:tc>
          <w:tcPr>
            <w:tcW w:w="1536" w:type="dxa"/>
          </w:tcPr>
          <w:p>
            <w:pPr>
              <w:pStyle w:val="TableText"/>
            </w:pPr>
            <w:r>
              <w:t xml:space="preserve">$0.353m</w:t>
            </w:r>
          </w:p>
        </w:tc>
        <w:tc>
          <w:tcPr>
            <w:tcW w:w="1418" w:type="dxa"/>
          </w:tcPr>
          <w:p>
            <w:pPr>
              <w:pStyle w:val="TableText"/>
            </w:pPr>
            <w:r>
              <w:t xml:space="preserve">1.154</w:t>
            </w:r>
          </w:p>
        </w:tc>
      </w:tr>
      <w:tr>
        <w:trPr>
          <w:cantSplit/>
        </w:trPr>
        <w:tc>
          <w:tcPr>
            <w:tcW w:w="4292" w:type="dxa"/>
          </w:tcPr>
          <w:p>
            <w:pPr>
              <w:pStyle w:val="TableText"/>
            </w:pPr>
            <w:r>
              <w:t xml:space="preserve">Mean–variance, λ = .20</w:t>
            </w:r>
          </w:p>
        </w:tc>
        <w:tc>
          <w:tcPr>
            <w:tcW w:w="1418" w:type="dxa"/>
          </w:tcPr>
          <w:p>
            <w:pPr>
              <w:pStyle w:val="TableText"/>
            </w:pPr>
            <w:r>
              <w:t xml:space="preserve">0.355</w:t>
            </w:r>
          </w:p>
        </w:tc>
        <w:tc>
          <w:tcPr>
            <w:tcW w:w="1418" w:type="dxa"/>
          </w:tcPr>
          <w:p>
            <w:pPr>
              <w:pStyle w:val="TableText"/>
            </w:pPr>
            <w:r>
              <w:t xml:space="preserve">1.519</w:t>
            </w:r>
          </w:p>
        </w:tc>
        <w:tc>
          <w:tcPr>
            <w:tcW w:w="1536" w:type="dxa"/>
          </w:tcPr>
          <w:p>
            <w:pPr>
              <w:pStyle w:val="TableText"/>
            </w:pPr>
            <w:r>
              <w:t xml:space="preserve">$0.452m</w:t>
            </w:r>
          </w:p>
        </w:tc>
        <w:tc>
          <w:tcPr>
            <w:tcW w:w="1418" w:type="dxa"/>
          </w:tcPr>
          <w:p>
            <w:pPr>
              <w:pStyle w:val="TableText"/>
            </w:pPr>
            <w:r>
              <w:t xml:space="preserve">0.619</w:t>
            </w:r>
          </w:p>
        </w:tc>
      </w:tr>
      <w:tr>
        <w:trPr>
          <w:cantSplit/>
        </w:trPr>
        <w:tc>
          <w:tcPr>
            <w:tcW w:w="4292" w:type="dxa"/>
          </w:tcPr>
          <w:p>
            <w:pPr>
              <w:pStyle w:val="TableText"/>
            </w:pPr>
            <w:r>
              <w:t xml:space="preserve">Q, λ = .20</w:t>
            </w:r>
          </w:p>
        </w:tc>
        <w:tc>
          <w:tcPr>
            <w:tcW w:w="1418" w:type="dxa"/>
          </w:tcPr>
          <w:p>
            <w:pPr>
              <w:pStyle w:val="TableText"/>
            </w:pPr>
            <w:r>
              <w:t xml:space="preserve">1.215</w:t>
            </w:r>
          </w:p>
        </w:tc>
        <w:tc>
          <w:tcPr>
            <w:tcW w:w="1418" w:type="dxa"/>
          </w:tcPr>
          <w:p>
            <w:pPr>
              <w:pStyle w:val="TableText"/>
            </w:pPr>
            <w:r>
              <w:t xml:space="preserve">1.726</w:t>
            </w:r>
          </w:p>
        </w:tc>
        <w:tc>
          <w:tcPr>
            <w:tcW w:w="1536" w:type="dxa"/>
          </w:tcPr>
          <w:p>
            <w:pPr>
              <w:pStyle w:val="TableText"/>
            </w:pPr>
            <w:r>
              <w:t xml:space="preserve">$1.306m</w:t>
            </w:r>
          </w:p>
        </w:tc>
        <w:tc>
          <w:tcPr>
            <w:tcW w:w="1418" w:type="dxa"/>
          </w:tcPr>
          <w:p>
            <w:pPr>
              <w:pStyle w:val="TableText"/>
            </w:pPr>
            <w:r>
              <w:t xml:space="preserve">1.353</w:t>
            </w:r>
          </w:p>
        </w:tc>
      </w:tr>
      <w:tr>
        <w:trPr>
          <w:cantSplit/>
        </w:trPr>
        <w:tc>
          <w:tcPr>
            <w:tcW w:w="4292" w:type="dxa"/>
          </w:tcPr>
          <w:p>
            <w:pPr>
              <w:pStyle w:val="TableText"/>
            </w:pPr>
            <w:r>
              <w:t xml:space="preserve">Mean–variance, λ = 1</w:t>
            </w:r>
          </w:p>
        </w:tc>
        <w:tc>
          <w:tcPr>
            <w:tcW w:w="1418" w:type="dxa"/>
          </w:tcPr>
          <w:p>
            <w:pPr>
              <w:pStyle w:val="TableText"/>
            </w:pPr>
            <w:r>
              <w:t xml:space="preserve">0.246</w:t>
            </w:r>
          </w:p>
        </w:tc>
        <w:tc>
          <w:tcPr>
            <w:tcW w:w="1418" w:type="dxa"/>
          </w:tcPr>
          <w:p>
            <w:pPr>
              <w:pStyle w:val="TableText"/>
            </w:pPr>
            <w:r>
              <w:t xml:space="preserve">1.795</w:t>
            </w:r>
          </w:p>
        </w:tc>
        <w:tc>
          <w:tcPr>
            <w:tcW w:w="1536" w:type="dxa"/>
          </w:tcPr>
          <w:p>
            <w:pPr>
              <w:pStyle w:val="TableText"/>
            </w:pPr>
            <w:r>
              <w:t xml:space="preserve">$0.439m</w:t>
            </w:r>
          </w:p>
        </w:tc>
        <w:tc>
          <w:tcPr>
            <w:tcW w:w="1418" w:type="dxa"/>
          </w:tcPr>
          <w:p>
            <w:pPr>
              <w:pStyle w:val="TableText"/>
            </w:pPr>
            <w:r>
              <w:t xml:space="preserve">0.519</w:t>
            </w:r>
          </w:p>
        </w:tc>
      </w:tr>
      <w:tr>
        <w:trPr>
          <w:cantSplit/>
        </w:trPr>
        <w:tc>
          <w:tcPr>
            <w:tcW w:w="4292" w:type="dxa"/>
          </w:tcPr>
          <w:p>
            <w:pPr>
              <w:pStyle w:val="TableText"/>
            </w:pPr>
            <w:r>
              <w:t xml:space="preserve">Q, λ = 1</w:t>
            </w:r>
          </w:p>
        </w:tc>
        <w:tc>
          <w:tcPr>
            <w:tcW w:w="1418" w:type="dxa"/>
          </w:tcPr>
          <w:p>
            <w:pPr>
              <w:pStyle w:val="TableText"/>
            </w:pPr>
            <w:r>
              <w:t xml:space="preserve">1.005</w:t>
            </w:r>
          </w:p>
        </w:tc>
        <w:tc>
          <w:tcPr>
            <w:tcW w:w="1418" w:type="dxa"/>
          </w:tcPr>
          <w:p>
            <w:pPr>
              <w:pStyle w:val="TableText"/>
            </w:pPr>
            <w:r>
              <w:t xml:space="preserve">2.152</w:t>
            </w:r>
          </w:p>
        </w:tc>
        <w:tc>
          <w:tcPr>
            <w:tcW w:w="1536" w:type="dxa"/>
          </w:tcPr>
          <w:p>
            <w:pPr>
              <w:pStyle w:val="TableText"/>
            </w:pPr>
            <w:r>
              <w:t xml:space="preserve">$1.141m</w:t>
            </w:r>
          </w:p>
        </w:tc>
        <w:tc>
          <w:tcPr>
            <w:tcW w:w="1418" w:type="dxa"/>
          </w:tcPr>
          <w:p>
            <w:pPr>
              <w:pStyle w:val="TableText"/>
            </w:pPr>
            <w:r>
              <w:t xml:space="preserve">0.985</w:t>
            </w:r>
          </w:p>
        </w:tc>
      </w:tr>
    </w:tbl>
    <w:p>
      <w:pPr>
        <w:pStyle w:val="TableGap"/>
      </w:pPr>
      <w:r>
        <w:t xml:space="preserve"/>
      </w:r>
    </w:p>
    <w:p>
      <w:pPr>
        <w:pStyle w:val="Normal"/>
      </w:pPr>
      <w:r>
        <w:t xml:space="preserve">All S columns are annualized excess Sharpe; later σ is annualized daily excess-return volatility. At λ = 0.20, Q raises later Sharpe from 1.519 to 1.726 and profit above cash from $452,303 to $1,305,940. At λ = 1, the corresponding figures are 1.795 versus 2.152 and $439,118 versus $1,141,251. Q also improves both measures at λ = 0.10 in both periods. These are portfolio comparisons, not equal-risk experiments: Q takes more realized risk.</w:t>
      </w:r>
    </w:p>
    <w:p>
      <w:pPr>
        <w:pStyle w:val="Heading2"/>
      </w:pPr>
      <w:r>
        <w:t xml:space="preserve">Why the allocation rules differ</w:t>
      </w:r>
    </w:p>
    <w:p>
      <w:pPr>
        <w:pStyle w:val="Normal"/>
      </w:pPr>
      <w:r>
        <w:t xml:space="preserve">The conventional rules summarize each trailing window with one mean and covariance estimate. Q also conditions on current volatility pricing, completed premium, VIX and relative strategy performance. At λ = 0.20, its mean later straddle target is 24.9%, versus 12.7% for mean–variance allocation. The selected intervals in Section 16 have higher subsequent straddle returns and lower volatility, supporting selective participation rather than average exposure alone.</w:t>
      </w:r>
    </w:p>
    <w:p>
      <w:pPr>
        <w:pStyle w:val="Normal"/>
      </w:pPr>
      <w:r>
        <w:t xml:space="preserve">Q changes targets 24 times later, versus eight for mean–variance allocation. Removing only outer resizing charges raises their Sharpes to 1.774 and 1.525; all source trading costs remain. Lower resizing fees therefore do not explain Q’s advantage. The conventional rule uses centered variance, whereas Q penalizes the raw second moment and adds state and continuation value; identical λ values do not make these identical objectives.</w:t>
      </w:r>
    </w:p>
    <w:p>
      <w:pPr>
        <w:pStyle w:val="Normal"/>
      </w:pPr>
      <w:r>
        <w:t xml:space="preserve">The result has a clear exception: at λ = 0, conventional profit-only allocation reaches later Sharpe 1.041 and $2.154 million above cash, versus Q’s 0.671 and $1.353 million. The literal 1% monthly target used in [5] is infeasible under our allocation limits; its maximum-mean fallback is recorded separately. All 14 conventional cases and the fee diagnostics are retained in the companion results.</w:t>
      </w:r>
    </w:p>
    <w:p>
      <w:pPr>
        <w:pStyle w:val="Title"/>
        <w:pageBreakBefore/>
      </w:pPr>
      <w:r>
        <w:t xml:space="preserve">19. An extension: managing accumulated straddle exposure</w:t>
      </w:r>
    </w:p>
    <w:p>
      <w:pPr>
        <w:pStyle w:val="Normal"/>
      </w:pPr>
      <w:r>
        <w:t xml:space="preserve">Entry sizing and strategy allocation leave a third question: should an existing option position be trimmed as risk accumulates? A separate experiment uses a $10 million joint whole-contract account, fixed 90% put / 10% straddle budgets and half-size entries in both sleeves. It does not replace the bandit accounts or the fractional-index Q experiment above.</w:t>
      </w:r>
    </w:p>
    <w:p>
      <w:pPr>
        <w:pStyle w:val="Normal"/>
      </w:pPr>
      <w:r>
        <w:t xml:space="preserve">A nonnegative regression predicts the magnitude of next-session straddle-book market P&amp;L from gross straddle vega and the preceding 21-session RMS P&amp;L. The coefficients and a 75th-percentile risk-per-NAV cutoff use 2018–2021 data. Cuts are inactive then, so this fits the warning without validating the management rule. When the reference-book warning is high, new straddles pause and existing cohorts target half their original integer counts at the next close. Trims remain in place; put rules are unchanged. This is an interpretable risk rule, not a learned Q-management policy.</w:t>
      </w:r>
    </w:p>
    <w:p>
      <w:pPr>
        <w:pStyle w:val="Figure"/>
      </w:pPr>
      <w:r>
        <w:t xml:space="preserve"/>
      </w:r>
      <w:r>
        <w:drawing>
          <wp:inline distT="0" distB="0" distL="0" distR="0">
            <wp:extent cx="6400800" cy="2434107"/>
            <wp:docPr id="16" name="Figure 16" descr="Separate joint-contract management trial, January 2022–August 2025. Upper panel: compounded growth relative to cash. Lower panel: cumulative daily excess-return difference, conditional cuts minus unchanged 90/10. This is not the Q-index account."/>
            <a:graphic>
              <a:graphicData uri="http://schemas.openxmlformats.org/drawingml/2006/picture">
                <pic:pic>
                  <pic:nvPicPr>
                    <pic:cNvPr id="16" name="straddle_management.png"/>
                    <pic:cNvPicPr/>
                  </pic:nvPicPr>
                  <pic:blipFill>
                    <a:blip r:embed="rId19"/>
                    <a:stretch>
                      <a:fillRect/>
                    </a:stretch>
                  </pic:blipFill>
                  <pic:spPr>
                    <a:xfrm>
                      <a:off x="0" y="0"/>
                      <a:ext cx="6400800" cy="2434107"/>
                    </a:xfrm>
                    <a:prstGeom prst="rect">
                      <a:avLst/>
                    </a:prstGeom>
                  </pic:spPr>
                </pic:pic>
              </a:graphicData>
            </a:graphic>
          </wp:inline>
        </w:drawing>
      </w:r>
    </w:p>
    <w:p>
      <w:pPr>
        <w:pStyle w:val="Caption"/>
      </w:pPr>
      <w:r>
        <w:t xml:space="preserve">Figure 16. Separate joint-contract management trial, January 2022–August 2025. Upper panel: compounded growth relative to cash. Lower panel: cumulative daily excess-return difference, conditional cuts minus unchanged 90/10. This is not the Q-index account.</w:t>
      </w:r>
    </w:p>
    <w:p>
      <w:pPr>
        <w:pStyle w:val="Normal"/>
      </w:pPr>
      <w:r>
        <w:t xml:space="preserve">Table 11. Separate joint-contract management trial, January 2022–August 2025.</w:t>
      </w:r>
    </w:p>
    <w:tbl>
      <w:tblPr>
        <w:tblW w:w="10080" w:type="dxa"/>
        <w:tblLayout w:type="fixed"/>
        <w:tblBorders>
          <w:top w:val="single" w:sz="6" w:color="111111"/>
          <w:bottom w:val="single" w:sz="6" w:color="111111"/>
          <w:left w:val="nil"/>
          <w:right w:val="nil"/>
          <w:insideH w:val="nil"/>
          <w:insideV w:val="nil"/>
        </w:tblBorders>
      </w:tblPr>
      <w:tblGrid>
        <w:gridCol w:w="3780"/>
        <w:gridCol w:w="1673"/>
        <w:gridCol w:w="1575"/>
        <w:gridCol w:w="1378"/>
        <w:gridCol w:w="1673"/>
      </w:tblGrid>
      <w:tr>
        <w:trPr>
          <w:cantSplit/>
          <w:tblHeader/>
        </w:trPr>
        <w:tc>
          <w:tcPr>
            <w:tcW w:w="3780" w:type="dxa"/>
            <w:tcBorders>
              <w:bottom w:val="single" w:sz="4" w:color="111111"/>
            </w:tcBorders>
          </w:tcPr>
          <w:p>
            <w:pPr>
              <w:pStyle w:val="TableHeader"/>
            </w:pPr>
            <w:r>
              <w:t xml:space="preserve">Account</w:t>
            </w:r>
          </w:p>
        </w:tc>
        <w:tc>
          <w:tcPr>
            <w:tcW w:w="1673" w:type="dxa"/>
            <w:tcBorders>
              <w:bottom w:val="single" w:sz="4" w:color="111111"/>
            </w:tcBorders>
          </w:tcPr>
          <w:p>
            <w:pPr>
              <w:pStyle w:val="TableHeader"/>
            </w:pPr>
            <w:r>
              <w:t xml:space="preserve">Mean excess (%)</w:t>
            </w:r>
          </w:p>
        </w:tc>
        <w:tc>
          <w:tcPr>
            <w:tcW w:w="1575" w:type="dxa"/>
            <w:tcBorders>
              <w:bottom w:val="single" w:sz="4" w:color="111111"/>
            </w:tcBorders>
          </w:tcPr>
          <w:p>
            <w:pPr>
              <w:pStyle w:val="TableHeader"/>
            </w:pPr>
            <w:r>
              <w:t xml:space="preserve">Vol. (%)</w:t>
            </w:r>
          </w:p>
        </w:tc>
        <w:tc>
          <w:tcPr>
            <w:tcW w:w="1378" w:type="dxa"/>
            <w:tcBorders>
              <w:bottom w:val="single" w:sz="4" w:color="111111"/>
            </w:tcBorders>
          </w:tcPr>
          <w:p>
            <w:pPr>
              <w:pStyle w:val="TableHeader"/>
            </w:pPr>
            <w:r>
              <w:t xml:space="preserve">Sharpe</w:t>
            </w:r>
          </w:p>
        </w:tc>
        <w:tc>
          <w:tcPr>
            <w:tcW w:w="1673" w:type="dxa"/>
            <w:tcBorders>
              <w:bottom w:val="single" w:sz="4" w:color="111111"/>
            </w:tcBorders>
          </w:tcPr>
          <w:p>
            <w:pPr>
              <w:pStyle w:val="TableHeader"/>
            </w:pPr>
            <w:r>
              <w:t xml:space="preserve">Drawdown (%)</w:t>
            </w:r>
          </w:p>
        </w:tc>
      </w:tr>
      <w:tr>
        <w:trPr>
          <w:cantSplit/>
        </w:trPr>
        <w:tc>
          <w:tcPr>
            <w:tcW w:w="3780" w:type="dxa"/>
          </w:tcPr>
          <w:p>
            <w:pPr>
              <w:pStyle w:val="TableText"/>
            </w:pPr>
            <w:r>
              <w:t xml:space="preserve">Unchanged 90/10</w:t>
            </w:r>
          </w:p>
        </w:tc>
        <w:tc>
          <w:tcPr>
            <w:tcW w:w="1673" w:type="dxa"/>
          </w:tcPr>
          <w:p>
            <w:pPr>
              <w:pStyle w:val="TableText"/>
            </w:pPr>
            <w:r>
              <w:t xml:space="preserve">0.718</w:t>
            </w:r>
          </w:p>
        </w:tc>
        <w:tc>
          <w:tcPr>
            <w:tcW w:w="1575" w:type="dxa"/>
          </w:tcPr>
          <w:p>
            <w:pPr>
              <w:pStyle w:val="TableText"/>
            </w:pPr>
            <w:r>
              <w:t xml:space="preserve">0.525</w:t>
            </w:r>
          </w:p>
        </w:tc>
        <w:tc>
          <w:tcPr>
            <w:tcW w:w="1378" w:type="dxa"/>
          </w:tcPr>
          <w:p>
            <w:pPr>
              <w:pStyle w:val="TableText"/>
            </w:pPr>
            <w:r>
              <w:t xml:space="preserve">1.365</w:t>
            </w:r>
          </w:p>
        </w:tc>
        <w:tc>
          <w:tcPr>
            <w:tcW w:w="1673" w:type="dxa"/>
          </w:tcPr>
          <w:p>
            <w:pPr>
              <w:pStyle w:val="TableText"/>
            </w:pPr>
            <w:r>
              <w:t xml:space="preserve">0.676</w:t>
            </w:r>
          </w:p>
        </w:tc>
      </w:tr>
      <w:tr>
        <w:trPr>
          <w:cantSplit/>
        </w:trPr>
        <w:tc>
          <w:tcPr>
            <w:tcW w:w="3780" w:type="dxa"/>
          </w:tcPr>
          <w:p>
            <w:pPr>
              <w:pStyle w:val="TableText"/>
            </w:pPr>
            <w:r>
              <w:t xml:space="preserve">Conditional cuts</w:t>
            </w:r>
          </w:p>
        </w:tc>
        <w:tc>
          <w:tcPr>
            <w:tcW w:w="1673" w:type="dxa"/>
          </w:tcPr>
          <w:p>
            <w:pPr>
              <w:pStyle w:val="TableText"/>
            </w:pPr>
            <w:r>
              <w:t xml:space="preserve">0.733</w:t>
            </w:r>
          </w:p>
        </w:tc>
        <w:tc>
          <w:tcPr>
            <w:tcW w:w="1575" w:type="dxa"/>
          </w:tcPr>
          <w:p>
            <w:pPr>
              <w:pStyle w:val="TableText"/>
            </w:pPr>
            <w:r>
              <w:t xml:space="preserve">0.465</w:t>
            </w:r>
          </w:p>
        </w:tc>
        <w:tc>
          <w:tcPr>
            <w:tcW w:w="1378" w:type="dxa"/>
          </w:tcPr>
          <w:p>
            <w:pPr>
              <w:pStyle w:val="TableText"/>
            </w:pPr>
            <w:r>
              <w:t xml:space="preserve">1.576</w:t>
            </w:r>
          </w:p>
        </w:tc>
        <w:tc>
          <w:tcPr>
            <w:tcW w:w="1673" w:type="dxa"/>
          </w:tcPr>
          <w:p>
            <w:pPr>
              <w:pStyle w:val="TableText"/>
            </w:pPr>
            <w:r>
              <w:t xml:space="preserve">0.734</w:t>
            </w:r>
          </w:p>
        </w:tc>
      </w:tr>
      <w:tr>
        <w:trPr>
          <w:cantSplit/>
        </w:trPr>
        <w:tc>
          <w:tcPr>
            <w:tcW w:w="3780" w:type="dxa"/>
          </w:tcPr>
          <w:p>
            <w:pPr>
              <w:pStyle w:val="TableText"/>
            </w:pPr>
            <w:r>
              <w:t xml:space="preserve">Constant 90/5 + cash</w:t>
            </w:r>
          </w:p>
        </w:tc>
        <w:tc>
          <w:tcPr>
            <w:tcW w:w="1673" w:type="dxa"/>
          </w:tcPr>
          <w:p>
            <w:pPr>
              <w:pStyle w:val="TableText"/>
            </w:pPr>
            <w:r>
              <w:t xml:space="preserve">0.499</w:t>
            </w:r>
          </w:p>
        </w:tc>
        <w:tc>
          <w:tcPr>
            <w:tcW w:w="1575" w:type="dxa"/>
          </w:tcPr>
          <w:p>
            <w:pPr>
              <w:pStyle w:val="TableText"/>
            </w:pPr>
            <w:r>
              <w:t xml:space="preserve">0.435</w:t>
            </w:r>
          </w:p>
        </w:tc>
        <w:tc>
          <w:tcPr>
            <w:tcW w:w="1378" w:type="dxa"/>
          </w:tcPr>
          <w:p>
            <w:pPr>
              <w:pStyle w:val="TableText"/>
            </w:pPr>
            <w:r>
              <w:t xml:space="preserve">1.147</w:t>
            </w:r>
          </w:p>
        </w:tc>
        <w:tc>
          <w:tcPr>
            <w:tcW w:w="1673" w:type="dxa"/>
          </w:tcPr>
          <w:p>
            <w:pPr>
              <w:pStyle w:val="TableText"/>
            </w:pPr>
            <w:r>
              <w:t xml:space="preserve">0.719</w:t>
            </w:r>
          </w:p>
        </w:tc>
      </w:tr>
    </w:tbl>
    <w:p>
      <w:pPr>
        <w:pStyle w:val="TableGap"/>
      </w:pPr>
      <w:r>
        <w:t xml:space="preserve"/>
      </w:r>
    </w:p>
    <w:p>
      <w:pPr>
        <w:pStyle w:val="Normal"/>
      </w:pPr>
      <w:r>
        <w:t xml:space="preserve">During January 2022–August 2025, conditional cuts raise excess Sharpe from 1.365 to 1.576, mainly by reducing volatility while preserving the arithmetic mean excess return. Cash-relative maximum drawdown becomes slightly worse, 0.734% versus 0.676%. The paired 126-session bootstrap interval for the Sharpe gain is −0.22 to +0.66. Annualized mean excess return is 252 times the daily mean, not compounded growth.</w:t>
      </w:r>
    </w:p>
    <w:p>
      <w:pPr>
        <w:pStyle w:val="Normal"/>
      </w:pPr>
      <w:r>
        <w:t xml:space="preserve">The constant-lower control assigns 90% to puts, 5% to straddles and 5% to cash. It takes less average straddle exposure than the conditional policy, so it does not isolate timing at equal exposure. The trial motivates inventory-aware learning but does not establish that trimming reliably improves performance. The timing, exposure and reproduction details appear in Appendix F.</w:t>
      </w:r>
    </w:p>
    <w:p>
      <w:pPr>
        <w:pStyle w:val="Title"/>
        <w:pageBreakBefore/>
      </w:pPr>
      <w:r>
        <w:t xml:space="preserve">20. Interpretation, limitations and conclusion</w:t>
      </w:r>
    </w:p>
    <w:p>
      <w:pPr>
        <w:pStyle w:val="Heading2"/>
      </w:pPr>
      <w:r>
        <w:t xml:space="preserve">What the comparisons establish</w:t>
      </w:r>
    </w:p>
    <w:p>
      <w:pPr>
        <w:pStyle w:val="Normal"/>
      </w:pPr>
      <w:r>
        <w:t xml:space="preserve">Entry bandits improve the retained portfolios through sizing and admission. Q improves allocation with constant entries and exceeds the corresponding rolling mean–variance controls at λ = 0.10, 0.20 and 1. Its profit-only policy transfers less reliably when straddles weaken. Reward design changes the allocation tradeoff.</w:t>
      </w:r>
    </w:p>
    <w:p>
      <w:pPr>
        <w:pStyle w:val="Heading2"/>
      </w:pPr>
      <w:r>
        <w:t xml:space="preserve">What remains uncertain</w:t>
      </w:r>
    </w:p>
    <w:p>
      <w:pPr>
        <w:pStyle w:val="Normal"/>
      </w:pPr>
      <w:r>
        <w:t xml:space="preserve">All fitted policies use only information available before their decisions. However, strategy development included inspection of later-period results, including choices of training windows and risk preferences. Consequently, the evaluation measures historical performance under chronologically fitted policies, rather than an independently frozen test of the complete research process. The controlled comparisons provide evidence about adaptive exposure allocation under the stated assumptions, but neither the magnitude of research-selection bias nor prospective performance has been established.</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the separate common-ledger trimming trial does not remove this limitation from the Q comparison.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The straddle attribution links the second signal to realized movement and explains why positive stock-hedge profits are not a separate edge. A joint-contract trimming trial supplies an interpretable inventory-management candidate, with an uncertain gain. Future work should integrate such controls with learned allocation, measured execution costs and additional independent signals.</w:t>
      </w:r>
    </w:p>
    <w:p>
      <w:pPr>
        <w:pStyle w:val="Normal"/>
      </w:pPr>
      <w:r>
        <w:t xml:space="preserve">Bandits adapt trade commitments; Q allocates across strategies. The four-way and conventional-benchmark comparisons support studying both exposure decisions in an integrated implementation and prospective evaluation.</w:t>
      </w:r>
    </w:p>
    <w:p>
      <w:pPr>
        <w:pStyle w:val="Title"/>
        <w:pageBreakBefore/>
      </w:pPr>
      <w:r>
        <w:t xml:space="preserve">References</w:t>
      </w:r>
    </w:p>
    <w:p>
      <w:pPr>
        <w:pStyle w:val="Reference"/>
      </w:pPr>
      <w:r>
        <w:t xml:space="preserve">[1] Ning, B., and K. Lee (2024). Advanced Statistical Arbitrage with Reinforcement Learning. arXiv:2403.12180. </w:t>
      </w:r>
      <w:hyperlink r:id="rId20">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21">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22">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23">
        <w:r>
          <w:rPr>
            <w:color w:val="111111"/>
            <w:u w:val="single"/>
          </w:rPr>
          <w:t xml:space="preserve">https://jmlr.org/papers/v6/ernst05a.html</w:t>
        </w:r>
      </w:hyperlink>
      <w:r>
        <w:t xml:space="preserve"/>
      </w:r>
    </w:p>
    <w:p>
      <w:pPr>
        <w:pStyle w:val="Reference"/>
      </w:pPr>
      <w:r>
        <w:t xml:space="preserve">[5] Caner, M., A. Capponi, N. Sun, and J. Y. Tan (2026). Designing Agentic AI-Based Screening for Portfolio Investment. arXiv:2603.23300. </w:t>
      </w:r>
      <w:hyperlink r:id="rId24">
        <w:r>
          <w:rPr>
            <w:color w:val="111111"/>
            <w:u w:val="single"/>
          </w:rPr>
          <w:t xml:space="preserve">https://arxiv.org/abs/2603.23300</w:t>
        </w:r>
      </w:hyperlink>
      <w:r>
        <w:t xml:space="preserve"/>
      </w:r>
    </w:p>
    <w:p>
      <w:pPr>
        <w:pStyle w:val="Reference"/>
      </w:pPr>
      <w:r>
        <w:t xml:space="preserve">[6] Bell, S., A. Kakhbod, M. Lettau, and A. Nazemi (2026). AlphaGlass: Interpretable Characteristic-Based Portfolio Choice. NBER Working Paper 35186. </w:t>
      </w:r>
      <w:hyperlink r:id="rId25">
        <w:r>
          <w:rPr>
            <w:color w:val="111111"/>
            <w:u w:val="single"/>
          </w:rPr>
          <w:t xml:space="preserve">https://doi.org/10.3386/w35186</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p>
      <w:pPr>
        <w:pStyle w:val="Normal"/>
      </w:pPr>
      <w:r>
        <w:t xml:space="preserve">Table 12. Input blocks available to the retained put-sizing policy.</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p>
      <w:pPr>
        <w:pStyle w:val="Normal"/>
      </w:pPr>
      <w:r>
        <w:t xml:space="preserve">Table 13. Allocation timing controls at λ = 0.20.</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The straddle’s 48- and 60-month windows tie at validation Sharpe 0.775; later Sharpes of 0.960 and 1.041 informed refinement. The four displayed Q preferences illustrate researched risk choices, not a single validation-winning policy. The original selection and full results remain in reports/signal_allocation_discount. The put-sizing gain is 0.208, with a paired 95% interval of −0.103 to +0.424, using 1,000 circular resamples of 126-session blocks, fixed policies and no selection adjustment. These records identify research choices without measuring their bias.</w:t>
      </w:r>
    </w:p>
    <w:p>
      <w:pPr>
        <w:pStyle w:val="Title"/>
        <w:pageBreakBefore/>
      </w:pPr>
      <w:r>
        <w:t xml:space="preserve">Appendix C. Supporting results and reproducibility</w:t>
      </w:r>
    </w:p>
    <w:p>
      <w:pPr>
        <w:pStyle w:val="Normal"/>
      </w:pPr>
      <w:r>
        <w:t xml:space="preserve">Table 14. Annualized excess Sharpe by calendar year; 2025 ends in August.</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p>
      <w:pPr>
        <w:pStyle w:val="Normal"/>
      </w:pPr>
      <w:r>
        <w:t xml:space="preserve">Table 15. Later excess Sharpe across entry policies and Q reward preferences.</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26">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p>
      <w:pPr>
        <w:pStyle w:val="Normal"/>
      </w:pPr>
      <w:r>
        <w:t xml:space="preserve">Table 16. Alternative put-sizing policies on the common reporting split.</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p>
      <w:pPr>
        <w:pStyle w:val="Normal"/>
      </w:pPr>
      <w:r>
        <w:t xml:space="preserve">Table 17. Put-bandit annual account returns and excess performance.</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p>
      <w:pPr>
        <w:pStyle w:val="Title"/>
        <w:pageBreakBefore/>
      </w:pPr>
      <w:r>
        <w:t xml:space="preserve">Appendix F. Straddle attribution and management protocol</w:t>
      </w:r>
    </w:p>
    <w:p>
      <w:pPr>
        <w:pStyle w:val="Heading2"/>
      </w:pPr>
      <w:r>
        <w:t xml:space="preserve">Retained cohorts and accounting checks</w:t>
      </w:r>
    </w:p>
    <w:p>
      <w:pPr>
        <w:pStyle w:val="Normal"/>
      </w:pPr>
      <w:r>
        <w:t xml:space="preserve">The economics extension retains 2,599 unique straddle cohorts and reconciles their option-plus-stock profits to the full-history straddle account. The aggregate bridge includes $160,755 in hedge trading costs, $20,544 in short-stock borrow, $57,201 in hedge dividends and $498,494 in cash interest above the cash benchmark. Option charges are already included in the option component. These amounts belong to January 2018–August 2025, not only the later reporting period.</w:t>
      </w:r>
    </w:p>
    <w:p>
      <w:pPr>
        <w:pStyle w:val="Normal"/>
      </w:pPr>
      <w:r>
        <w:t xml:space="preserve">Saved holdings and recovered quote paths reproduce the trade illustrations. One quote-availability convention was inferred; using observed recovered quotes changes aggregate hedge profit by $367.52. The figures retain the reconciled saved-account attribution. This reconstruction difference is disclosed rather than counted as a new profit source. Stable security identifiers identify the two examples.</w:t>
      </w:r>
    </w:p>
    <w:p>
      <w:pPr>
        <w:pStyle w:val="Heading2"/>
      </w:pPr>
      <w:r>
        <w:t xml:space="preserve">Risk warning and executable trimming</w:t>
      </w:r>
    </w:p>
    <w:p>
      <w:pPr>
        <w:pStyle w:val="Normal"/>
      </w:pPr>
      <w:r>
        <w:t xml:space="preserve">The warning model uses nonnegative coefficients 1.405401 on gross straddle vega and 0.383233 on 21-session RMS market P&amp;L. Divide its dollar prediction by prior NAV and compare with 0.0001616954. The predictor targets absolute next-session market P&amp;L, not its sign. A causally maintained unchanged reference book supplies the state, so a trim cannot mechanically switch off its own warning.</w:t>
      </w:r>
    </w:p>
    <w:p>
      <w:pPr>
        <w:pStyle w:val="Normal"/>
      </w:pPr>
      <w:r>
        <w:t xml:space="preserve">A high warning pauses new straddles and requests 50% of each original cohort’s call and put counts, rounded down. One-contract cohorts close both legs. The target is retried until filled or expired and never restores trimmed positions; new entries resume after the warning clears. The first signal is 31 December 2021, execution 3 January 2022, and first affected market return 4 January. All 908 warning records strictly order signal, execution and first affected return.</w:t>
      </w:r>
    </w:p>
    <w:p>
      <w:pPr>
        <w:pStyle w:val="Normal"/>
      </w:pPr>
      <w:r>
        <w:t xml:space="preserve">Mean later gross straddle vega is $562.36 per volatility point for unchanged 90/10, $450.59 for conditional cuts and $275.54 for constant 90/5 plus cash. Thus the constant-lower control does not match average exposure. The saved paired bootstrap uses 2,000 draws; the Sharpe-gain interval versus holding is [−0.243, +0.697] at 63 sessions and [−0.218, +0.665] at 126. These intervals condition on the retained histories without research-selection adjustment.</w:t>
      </w:r>
    </w:p>
    <w:p>
      <w:pPr>
        <w:pStyle w:val="Heading2"/>
      </w:pPr>
      <w:r>
        <w:t xml:space="preserve">Publication reproduction and experiment scope</w:t>
      </w:r>
    </w:p>
    <w:p>
      <w:pPr>
        <w:pStyle w:val="Normal"/>
      </w:pPr>
      <w:r>
        <w:t xml:space="preserve">The committed reports/strategy_economics/data snapshots and manifest reproduce the attribution, figures and management table without raw option chains. The renderer verifies snapshot hashes, cohort identities, aligned account dates and saved performance arithmetic. The original management simulator and model-fitting pipeline are not included in this focused publication snapshot; publication reproduction is not an independent regeneration of those experiments.</w:t>
      </w:r>
    </w:p>
    <w:p>
      <w:pPr>
        <w:pStyle w:val="Normal"/>
      </w:pPr>
      <w:r>
        <w:t xml:space="preserve">The three management accounts have identical histories before 2022, each with excess Sharpe 0.882. No cuts are applied during that period; it estimates the warning model and cutoff rather than validating the trimming benefit. Their later daily return and benchmark identities reconcile, including whole-contract exposure and funding in the saved ledgers. Other forecast, sizing and allocation variants were investigated without a replacement policy being retained. This one bounded trial uses already researched historical dates and is a separate extension, not a fresh holdout or additional evidence that the main Q learner manages individual contracts.</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straddle_bridge.png" /><ns0:Relationship Id="rId7" Type="http://schemas.openxmlformats.org/officeDocument/2006/relationships/image" Target="media/straddle_paths.png" /><ns0:Relationship Id="rId8" Type="http://schemas.openxmlformats.org/officeDocument/2006/relationships/image" Target="media/straddle_ivrv.png" /><ns0:Relationship Id="rId9" Type="http://schemas.openxmlformats.org/officeDocument/2006/relationships/image" Target="media/straddle_examples.png" /><ns0:Relationship Id="rId10" Type="http://schemas.openxmlformats.org/officeDocument/2006/relationships/image" Target="media/refit_timeline.png" /><ns0:Relationship Id="rId11" Type="http://schemas.openxmlformats.org/officeDocument/2006/relationships/image" Target="media/feature_validation.png" /><ns0:Relationship Id="rId12" Type="http://schemas.openxmlformats.org/officeDocument/2006/relationships/image" Target="media/entry_policy.png" /><ns0:Relationship Id="rId13" Type="http://schemas.openxmlformats.org/officeDocument/2006/relationships/image" Target="media/entry_curves.png" /><ns0:Relationship Id="rId14" Type="http://schemas.openxmlformats.org/officeDocument/2006/relationships/image" Target="media/entry_explanations.png" /><ns0:Relationship Id="rId15" Type="http://schemas.openxmlformats.org/officeDocument/2006/relationships/image" Target="media/allocation_risk.png" /><ns0:Relationship Id="rId16" Type="http://schemas.openxmlformats.org/officeDocument/2006/relationships/image" Target="media/allocation_schedule.png" /><ns0:Relationship Id="rId17" Type="http://schemas.openxmlformats.org/officeDocument/2006/relationships/image" Target="media/conditional_risk.png" /><ns0:Relationship Id="rId18" Type="http://schemas.openxmlformats.org/officeDocument/2006/relationships/image" Target="media/factorial.png" /><ns0:Relationship Id="rId19" Type="http://schemas.openxmlformats.org/officeDocument/2006/relationships/image" Target="media/straddle_management.png" /><ns0:Relationship Id="rId20" Type="http://schemas.openxmlformats.org/officeDocument/2006/relationships/hyperlink" Target="https://arxiv.org/abs/2403.12180" TargetMode="External" /><ns0:Relationship Id="rId21" Type="http://schemas.openxmlformats.org/officeDocument/2006/relationships/hyperlink" Target="https://doi.org/10.1016/j.jfineco.2009.01.001" TargetMode="External" /><ns0:Relationship Id="rId22" Type="http://schemas.openxmlformats.org/officeDocument/2006/relationships/hyperlink" Target="https://people.smp.uq.edu.au/DirkKroese/ps/aortut.pdf" TargetMode="External" /><ns0:Relationship Id="rId23" Type="http://schemas.openxmlformats.org/officeDocument/2006/relationships/hyperlink" Target="https://jmlr.org/papers/v6/ernst05a.html" TargetMode="External" /><ns0:Relationship Id="rId24" Type="http://schemas.openxmlformats.org/officeDocument/2006/relationships/hyperlink" Target="https://arxiv.org/abs/2603.23300" TargetMode="External" /><ns0:Relationship Id="rId25" Type="http://schemas.openxmlformats.org/officeDocument/2006/relationships/hyperlink" Target="https://doi.org/10.3386/w35186" TargetMode="External" /><ns0:Relationship Id="rId26" Type="http://schemas.openxmlformats.org/officeDocument/2006/relationships/hyperlink" Target="https://github.com/kreitzz/rl-atm-vega-pairs" TargetMode="External" /></ns0:Relationships>
</file>