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From Equity Pairs to Options Relative Value</w:t>
      </w:r>
    </w:p>
    <w:p>
      <w:pPr>
        <w:pStyle w:val="PaperSubtitle"/>
      </w:pPr>
      <w:r>
        <w:t>Reinforcement Learning for Trade Sizing and Capital Allocation</w:t>
      </w:r>
    </w:p>
    <w:p>
      <w:pPr>
        <w:pStyle w:val="PaperAuthor"/>
      </w:pPr>
      <w:r>
        <w:t>Adam Kreitzman and Soo Xin Yang</w:t>
      </w:r>
    </w:p>
    <w:p>
      <w:pPr>
        <w:pStyle w:val="PaperMeta"/>
      </w:pPr>
      <w:r>
        <w:t>MFE 230Z: Deep Learning in Finance</w:t>
      </w:r>
    </w:p>
    <w:p>
      <w:pPr>
        <w:pStyle w:val="PaperMeta"/>
      </w:pPr>
      <w:r>
        <w:t>16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Combining both learners raises Sharpe from 1.088 to 1.726 in a four-way comparison. With bandit entries, Q also exceeds rolling mean–variance allocation: 1.726 versus 1.519.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3" name="Figure 3"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3" name="refit_timeline.png"/>
                    <pic:cNvPicPr/>
                  </pic:nvPicPr>
                  <pic:blipFill>
                    <a:blip r:embed="rId6"/>
                    <a:stretch>
                      <a:fillRect/>
                    </a:stretch>
                  </pic:blipFill>
                  <pic:spPr>
                    <a:xfrm>
                      <a:off x="0" y="0"/>
                      <a:ext cx="6400800" cy="2025771"/>
                    </a:xfrm>
                    <a:prstGeom prst="rect">
                      <a:avLst/>
                    </a:prstGeom>
                  </pic:spPr>
                </pic:pic>
              </a:graphicData>
            </a:graphic>
          </wp:inline>
        </w:drawing>
      </w:r>
    </w:p>
    <w:p>
      <w:pPr>
        <w:pStyle w:val="Caption"/>
      </w:pPr>
      <w:r>
        <w:t xml:space="preserve">Figure 3.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7.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4" name="Figure 4"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4" name="feature_validation.png"/>
                    <pic:cNvPicPr/>
                  </pic:nvPicPr>
                  <pic:blipFill>
                    <a:blip r:embed="rId7"/>
                    <a:stretch>
                      <a:fillRect/>
                    </a:stretch>
                  </pic:blipFill>
                  <pic:spPr>
                    <a:xfrm>
                      <a:off x="0" y="0"/>
                      <a:ext cx="6400800" cy="3155324"/>
                    </a:xfrm>
                    <a:prstGeom prst="rect">
                      <a:avLst/>
                    </a:prstGeom>
                  </pic:spPr>
                </pic:pic>
              </a:graphicData>
            </a:graphic>
          </wp:inline>
        </w:drawing>
      </w:r>
    </w:p>
    <w:p>
      <w:pPr>
        <w:pStyle w:val="Caption"/>
      </w:pPr>
      <w:r>
        <w:t xml:space="preserve">Figure 4.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8.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5" name="Figure 5"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5" name="entry_policy.png"/>
                    <pic:cNvPicPr/>
                  </pic:nvPicPr>
                  <pic:blipFill>
                    <a:blip r:embed="rId8"/>
                    <a:stretch>
                      <a:fillRect/>
                    </a:stretch>
                  </pic:blipFill>
                  <pic:spPr>
                    <a:xfrm>
                      <a:off x="0" y="0"/>
                      <a:ext cx="6400800" cy="3017444"/>
                    </a:xfrm>
                    <a:prstGeom prst="rect">
                      <a:avLst/>
                    </a:prstGeom>
                  </pic:spPr>
                </pic:pic>
              </a:graphicData>
            </a:graphic>
          </wp:inline>
        </w:drawing>
      </w:r>
    </w:p>
    <w:p>
      <w:pPr>
        <w:pStyle w:val="Caption"/>
      </w:pPr>
      <w:r>
        <w:t xml:space="preserve">Figure 5.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9. Does learned entry sizing improve returns?</w:t>
      </w:r>
    </w:p>
    <w:p>
      <w:pPr>
        <w:pStyle w:val="Figure"/>
      </w:pPr>
      <w:r>
        <w:t xml:space="preserve"/>
      </w:r>
      <w:r>
        <w:drawing>
          <wp:inline distT="0" distB="0" distL="0" distR="0">
            <wp:extent cx="6400800" cy="2975020"/>
            <wp:docPr id="6" name="Figure 6"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6" name="entry_curves.png"/>
                    <pic:cNvPicPr/>
                  </pic:nvPicPr>
                  <pic:blipFill>
                    <a:blip r:embed="rId9"/>
                    <a:stretch>
                      <a:fillRect/>
                    </a:stretch>
                  </pic:blipFill>
                  <pic:spPr>
                    <a:xfrm>
                      <a:off x="0" y="0"/>
                      <a:ext cx="6400800" cy="2975020"/>
                    </a:xfrm>
                    <a:prstGeom prst="rect">
                      <a:avLst/>
                    </a:prstGeom>
                  </pic:spPr>
                </pic:pic>
              </a:graphicData>
            </a:graphic>
          </wp:inline>
        </w:drawing>
      </w:r>
    </w:p>
    <w:p>
      <w:pPr>
        <w:pStyle w:val="Caption"/>
      </w:pPr>
      <w:r>
        <w:t xml:space="preserve">Figure 6. Profit above cash since January 2022. Upper right: total straddle profits. Lower right: incremental straddle profit, bandit minus fixed full sizing. Series subtract their 2021 closing values and retain carried positions. Differences reflect both sizing and admission.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10. Explaining the bandits’ decisions</w:t>
      </w:r>
    </w:p>
    <w:p>
      <w:pPr>
        <w:pStyle w:val="Figure"/>
      </w:pPr>
      <w:r>
        <w:t xml:space="preserve"/>
      </w:r>
      <w:r>
        <w:drawing>
          <wp:inline distT="0" distB="0" distL="0" distR="0">
            <wp:extent cx="6400800" cy="2656836"/>
            <wp:docPr id="7" name="Figure 7"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7" name="entry_explanations.png"/>
                    <pic:cNvPicPr/>
                  </pic:nvPicPr>
                  <pic:blipFill>
                    <a:blip r:embed="rId10"/>
                    <a:stretch>
                      <a:fillRect/>
                    </a:stretch>
                  </pic:blipFill>
                  <pic:spPr>
                    <a:xfrm>
                      <a:off x="0" y="0"/>
                      <a:ext cx="6400800" cy="2656836"/>
                    </a:xfrm>
                    <a:prstGeom prst="rect">
                      <a:avLst/>
                    </a:prstGeom>
                  </pic:spPr>
                </pic:pic>
              </a:graphicData>
            </a:graphic>
          </wp:inline>
        </w:drawing>
      </w:r>
    </w:p>
    <w:p>
      <w:pPr>
        <w:pStyle w:val="Caption"/>
      </w:pPr>
      <w:r>
        <w:t xml:space="preserve">Figure 7.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11.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λ = 0, the directive is profit alone: additional normalized return earns reward without an explicit charge for the accompanying volatility. A higher-profit, higher-variance strategy can therefore attract capital even when its risk-adjusted performance is weaker. This objective does not maximize Sharpe. The discount γ = 0.99 separately weights continuation value; it is unchanged across risk preferences.</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12. Risk preference changes the allocation tradeoff</w:t>
      </w:r>
    </w:p>
    <w:p>
      <w:pPr>
        <w:pStyle w:val="Figure"/>
      </w:pPr>
      <w:r>
        <w:t xml:space="preserve"/>
      </w:r>
      <w:r>
        <w:drawing>
          <wp:inline distT="0" distB="0" distL="0" distR="0">
            <wp:extent cx="6400800" cy="3335628"/>
            <wp:docPr id="8" name="Figure 8"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8" name="allocation_risk.png"/>
                    <pic:cNvPicPr/>
                  </pic:nvPicPr>
                  <pic:blipFill>
                    <a:blip r:embed="rId11"/>
                    <a:stretch>
                      <a:fillRect/>
                    </a:stretch>
                  </pic:blipFill>
                  <pic:spPr>
                    <a:xfrm>
                      <a:off x="0" y="0"/>
                      <a:ext cx="6400800" cy="3335628"/>
                    </a:xfrm>
                    <a:prstGeom prst="rect">
                      <a:avLst/>
                    </a:prstGeom>
                  </pic:spPr>
                </pic:pic>
              </a:graphicData>
            </a:graphic>
          </wp:inline>
        </w:drawing>
      </w:r>
    </w:p>
    <w:p>
      <w:pPr>
        <w:pStyle w:val="Caption"/>
      </w:pPr>
      <w:r>
        <w:t xml:space="preserve">Figure 8. Bandit-managed source portfolios; nine-input Q state and γ = 0.99. Gray labels are fixed straddle percentages; the remainder goes to put pairs. Lines connect discrete policies. Both axes have the same scales across periods; 2025 ends in August.</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At λ = 0, the learner aggressively pursues profit through the higher-dollar, higher-variance straddle strategy. It chooses straddles alone in 138 of 191 later decisions, with a mean straddle target of 73.2%, versus 24.9% at λ = 0.20 and 16.9% at λ = 1. Validation Sharpe is 1.427, but later Sharpe falls to 0.671. When straddle performance weakens, this concentration becomes costly: the zero-penalty portfolio loses approximately $331,000 above cash in 2025.</w:t>
      </w:r>
    </w:p>
    <w:p>
      <w:pPr>
        <w:pStyle w:val="Normal"/>
      </w:pPr>
      <w:r>
        <w:t xml:space="preserve">The problem also involves when capital is committed. A fixed 75% allocation to straddles achieves later Sharpe 1.084, so average exposure alone does not explain the weaker Q result. The profit-only learner can respond to state, but its learned timing does not distinguish attractive straddle opportunities well enough in the later period. Positive penalties make large fluctuations costly and lead to more selective straddle exposure. Increasing Bellman updates from 200 to 500, 1,000 and 2,000 changes no later decision for these settings. This check points to the reward and learned allocation rule, rather than too few iterations.</w:t>
      </w:r>
    </w:p>
    <w:p>
      <w:pPr>
        <w:pStyle w:val="Title"/>
        <w:pageBreakBefore/>
      </w:pPr>
      <w:r>
        <w:t xml:space="preserve">13.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9" name="Figure 9"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9" name="allocation_schedule.png"/>
                    <pic:cNvPicPr/>
                  </pic:nvPicPr>
                  <pic:blipFill>
                    <a:blip r:embed="rId12"/>
                    <a:stretch>
                      <a:fillRect/>
                    </a:stretch>
                  </pic:blipFill>
                  <pic:spPr>
                    <a:xfrm>
                      <a:off x="0" y="0"/>
                      <a:ext cx="6400800" cy="2253803"/>
                    </a:xfrm>
                    <a:prstGeom prst="rect">
                      <a:avLst/>
                    </a:prstGeom>
                  </pic:spPr>
                </pic:pic>
              </a:graphicData>
            </a:graphic>
          </wp:inline>
        </w:drawing>
      </w:r>
    </w:p>
    <w:p>
      <w:pPr>
        <w:pStyle w:val="Caption"/>
      </w:pPr>
      <w:r>
        <w:t xml:space="preserve">Figure 9.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0" name="Figure 10"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0" name="conditional_risk.png"/>
                    <pic:cNvPicPr/>
                  </pic:nvPicPr>
                  <pic:blipFill>
                    <a:blip r:embed="rId13"/>
                    <a:stretch>
                      <a:fillRect/>
                    </a:stretch>
                  </pic:blipFill>
                  <pic:spPr>
                    <a:xfrm>
                      <a:off x="0" y="0"/>
                      <a:ext cx="6400800" cy="2524259"/>
                    </a:xfrm>
                    <a:prstGeom prst="rect">
                      <a:avLst/>
                    </a:prstGeom>
                  </pic:spPr>
                </pic:pic>
              </a:graphicData>
            </a:graphic>
          </wp:inline>
        </w:drawing>
      </w:r>
    </w:p>
    <w:p>
      <w:pPr>
        <w:pStyle w:val="Caption"/>
      </w:pPr>
      <w:r>
        <w:t xml:space="preserve">Figure 10.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Put pairs average −0.09 basis points on the first set and +0.31 on the second. These are realized conditional statistics on noncontiguous dates, not causal estimates or standalone strategy Sharpes. Source costs are included; outer resizing charges are excluded.</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14. Separating the two learning layers</w:t>
      </w:r>
    </w:p>
    <w:p>
      <w:pPr>
        <w:pStyle w:val="Figure"/>
      </w:pPr>
      <w:r>
        <w:t xml:space="preserve"/>
      </w:r>
      <w:r>
        <w:drawing>
          <wp:inline distT="0" distB="0" distL="0" distR="0">
            <wp:extent cx="6400800" cy="2704563"/>
            <wp:docPr id="11" name="Figure 11"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1" name="factorial.png"/>
                    <pic:cNvPicPr/>
                  </pic:nvPicPr>
                  <pic:blipFill>
                    <a:blip r:embed="rId14"/>
                    <a:stretch>
                      <a:fillRect/>
                    </a:stretch>
                  </pic:blipFill>
                  <pic:spPr>
                    <a:xfrm>
                      <a:off x="0" y="0"/>
                      <a:ext cx="6400800" cy="2704563"/>
                    </a:xfrm>
                    <a:prstGeom prst="rect">
                      <a:avLst/>
                    </a:prstGeom>
                  </pic:spPr>
                </pic:pic>
              </a:graphicData>
            </a:graphic>
          </wp:inline>
        </w:drawing>
      </w:r>
    </w:p>
    <w:p>
      <w:pPr>
        <w:pStyle w:val="Caption"/>
      </w:pPr>
      <w:r>
        <w:t xml:space="preserve">Figure 11. Cell values are annualized excess Sharpe at λ = 0.20. Fixed entry size is 100%; fixed capital allocation is 50/50. Q is independently fitted on each entry family’s actual returns and costs.</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15. Comparing dynamic allocation methods</w:t>
      </w:r>
    </w:p>
    <w:p>
      <w:pPr>
        <w:pStyle w:val="Normal"/>
      </w:pPr>
      <w:r>
        <w:t xml:space="preserve">A dynamic policy might outperform fixed weights simply by responding to recent returns. We therefore adapt the minimum-variance, maximum-Sharpe and mean–variance portfolio objectives of Caner et al. [5] to our two frozen bandit portfolios. This comparison asks whether Q improves on conventional dynamic allocation as well.</w:t>
      </w:r>
    </w:p>
    <w:p>
      <w:pPr>
        <w:pStyle w:val="Heading2"/>
      </w:pPr>
      <w:r>
        <w:t xml:space="preserve">The same budget, opportunities and execution</w:t>
      </w:r>
    </w:p>
    <w:p>
      <w:pPr>
        <w:pStyle w:val="Normal"/>
      </w:pPr>
      <w:r>
        <w:t xml:space="preserve">All methods choose among the same seven capital splits, use one $10 million budget and pay the same source trading and additional resizing costs. Estimates use Q’s preceding 104 completed weeks, with a minimum of 52, monthly refits and the same 50/50 warmup. Within each objective, 2018–2021 Sharpe selects sample covariance or linear Ledoit–Wolf shrinkage; that choice remains fixed for the later period. This adapts their objectives rather than replicating their stock screens, nonlinear shrinkage or 15-year estimation window.</w:t>
      </w:r>
    </w:p>
    <w:tbl>
      <w:tblPr>
        <w:tblW w:w="10080" w:type="dxa"/>
        <w:tblLayout w:type="fixed"/>
        <w:tblBorders>
          <w:top w:val="single" w:sz="6" w:color="111111"/>
          <w:bottom w:val="single" w:sz="6" w:color="111111"/>
          <w:left w:val="nil"/>
          <w:right w:val="nil"/>
          <w:insideH w:val="nil"/>
          <w:insideV w:val="nil"/>
        </w:tblBorders>
      </w:tblPr>
      <w:tblGrid>
        <w:gridCol w:w="4292"/>
        <w:gridCol w:w="1418"/>
        <w:gridCol w:w="1418"/>
        <w:gridCol w:w="1536"/>
        <w:gridCol w:w="1418"/>
      </w:tblGrid>
      <w:tr>
        <w:trPr>
          <w:cantSplit/>
          <w:tblHeader/>
        </w:trPr>
        <w:tc>
          <w:tcPr>
            <w:tcW w:w="4292" w:type="dxa"/>
            <w:tcBorders>
              <w:bottom w:val="single" w:sz="4" w:color="111111"/>
            </w:tcBorders>
          </w:tcPr>
          <w:p>
            <w:pPr>
              <w:pStyle w:val="TableHeader"/>
            </w:pPr>
            <w:r>
              <w:t xml:space="preserve">Capital allocator</w:t>
            </w:r>
          </w:p>
        </w:tc>
        <w:tc>
          <w:tcPr>
            <w:tcW w:w="1418" w:type="dxa"/>
            <w:tcBorders>
              <w:bottom w:val="single" w:sz="4" w:color="111111"/>
            </w:tcBorders>
          </w:tcPr>
          <w:p>
            <w:pPr>
              <w:pStyle w:val="TableHeader"/>
            </w:pPr>
            <w:r>
              <w:t xml:space="preserve">2018–21 S</w:t>
            </w:r>
          </w:p>
        </w:tc>
        <w:tc>
          <w:tcPr>
            <w:tcW w:w="1418" w:type="dxa"/>
            <w:tcBorders>
              <w:bottom w:val="single" w:sz="4" w:color="111111"/>
            </w:tcBorders>
          </w:tcPr>
          <w:p>
            <w:pPr>
              <w:pStyle w:val="TableHeader"/>
            </w:pPr>
            <w:r>
              <w:t xml:space="preserve">2022–25 S</w:t>
            </w:r>
          </w:p>
        </w:tc>
        <w:tc>
          <w:tcPr>
            <w:tcW w:w="1536" w:type="dxa"/>
            <w:tcBorders>
              <w:bottom w:val="single" w:sz="4" w:color="111111"/>
            </w:tcBorders>
          </w:tcPr>
          <w:p>
            <w:pPr>
              <w:pStyle w:val="TableHeader"/>
            </w:pPr>
            <w:r>
              <w:t xml:space="preserve">Later profit</w:t>
            </w:r>
          </w:p>
        </w:tc>
        <w:tc>
          <w:tcPr>
            <w:tcW w:w="1418" w:type="dxa"/>
            <w:tcBorders>
              <w:bottom w:val="single" w:sz="4" w:color="111111"/>
            </w:tcBorders>
          </w:tcPr>
          <w:p>
            <w:pPr>
              <w:pStyle w:val="TableHeader"/>
            </w:pPr>
            <w:r>
              <w:t xml:space="preserve">Later σ (%)</w:t>
            </w:r>
          </w:p>
        </w:tc>
      </w:tr>
      <w:tr>
        <w:trPr>
          <w:cantSplit/>
        </w:trPr>
        <w:tc>
          <w:tcPr>
            <w:tcW w:w="4292" w:type="dxa"/>
          </w:tcPr>
          <w:p>
            <w:pPr>
              <w:pStyle w:val="TableText"/>
            </w:pPr>
            <w:r>
              <w:t xml:space="preserve">Fixed 50/50</w:t>
            </w:r>
          </w:p>
        </w:tc>
        <w:tc>
          <w:tcPr>
            <w:tcW w:w="1418" w:type="dxa"/>
          </w:tcPr>
          <w:p>
            <w:pPr>
              <w:pStyle w:val="TableText"/>
            </w:pPr>
            <w:r>
              <w:t xml:space="preserve">0.804</w:t>
            </w:r>
          </w:p>
        </w:tc>
        <w:tc>
          <w:tcPr>
            <w:tcW w:w="1418" w:type="dxa"/>
          </w:tcPr>
          <w:p>
            <w:pPr>
              <w:pStyle w:val="TableText"/>
            </w:pPr>
            <w:r>
              <w:t xml:space="preserve">1.167</w:t>
            </w:r>
          </w:p>
        </w:tc>
        <w:tc>
          <w:tcPr>
            <w:tcW w:w="1536" w:type="dxa"/>
          </w:tcPr>
          <w:p>
            <w:pPr>
              <w:pStyle w:val="TableText"/>
            </w:pPr>
            <w:r>
              <w:t xml:space="preserve">$1.238m</w:t>
            </w:r>
          </w:p>
        </w:tc>
        <w:tc>
          <w:tcPr>
            <w:tcW w:w="1418" w:type="dxa"/>
          </w:tcPr>
          <w:p>
            <w:pPr>
              <w:pStyle w:val="TableText"/>
            </w:pPr>
            <w:r>
              <w:t xml:space="preserve">1.973</w:t>
            </w:r>
          </w:p>
        </w:tc>
      </w:tr>
      <w:tr>
        <w:trPr>
          <w:cantSplit/>
        </w:trPr>
        <w:tc>
          <w:tcPr>
            <w:tcW w:w="4292" w:type="dxa"/>
          </w:tcPr>
          <w:p>
            <w:pPr>
              <w:pStyle w:val="TableText"/>
            </w:pPr>
            <w:r>
              <w:t xml:space="preserve">Minimum variance</w:t>
            </w:r>
          </w:p>
        </w:tc>
        <w:tc>
          <w:tcPr>
            <w:tcW w:w="1418" w:type="dxa"/>
          </w:tcPr>
          <w:p>
            <w:pPr>
              <w:pStyle w:val="TableText"/>
            </w:pPr>
            <w:r>
              <w:t xml:space="preserve">0.316</w:t>
            </w:r>
          </w:p>
        </w:tc>
        <w:tc>
          <w:tcPr>
            <w:tcW w:w="1418" w:type="dxa"/>
          </w:tcPr>
          <w:p>
            <w:pPr>
              <w:pStyle w:val="TableText"/>
            </w:pPr>
            <w:r>
              <w:t xml:space="preserve">1.329</w:t>
            </w:r>
          </w:p>
        </w:tc>
        <w:tc>
          <w:tcPr>
            <w:tcW w:w="1536" w:type="dxa"/>
          </w:tcPr>
          <w:p>
            <w:pPr>
              <w:pStyle w:val="TableText"/>
            </w:pPr>
            <w:r>
              <w:t xml:space="preserve">$0.284m</w:t>
            </w:r>
          </w:p>
        </w:tc>
        <w:tc>
          <w:tcPr>
            <w:tcW w:w="1418" w:type="dxa"/>
          </w:tcPr>
          <w:p>
            <w:pPr>
              <w:pStyle w:val="TableText"/>
            </w:pPr>
            <w:r>
              <w:t xml:space="preserve">0.438</w:t>
            </w:r>
          </w:p>
        </w:tc>
      </w:tr>
      <w:tr>
        <w:trPr>
          <w:cantSplit/>
        </w:trPr>
        <w:tc>
          <w:tcPr>
            <w:tcW w:w="4292" w:type="dxa"/>
          </w:tcPr>
          <w:p>
            <w:pPr>
              <w:pStyle w:val="TableText"/>
            </w:pPr>
            <w:r>
              <w:t xml:space="preserve">Maximum Sharpe</w:t>
            </w:r>
          </w:p>
        </w:tc>
        <w:tc>
          <w:tcPr>
            <w:tcW w:w="1418" w:type="dxa"/>
          </w:tcPr>
          <w:p>
            <w:pPr>
              <w:pStyle w:val="TableText"/>
            </w:pPr>
            <w:r>
              <w:t xml:space="preserve">0.189</w:t>
            </w:r>
          </w:p>
        </w:tc>
        <w:tc>
          <w:tcPr>
            <w:tcW w:w="1418" w:type="dxa"/>
          </w:tcPr>
          <w:p>
            <w:pPr>
              <w:pStyle w:val="TableText"/>
            </w:pPr>
            <w:r>
              <w:t xml:space="preserve">0.659</w:t>
            </w:r>
          </w:p>
        </w:tc>
        <w:tc>
          <w:tcPr>
            <w:tcW w:w="1536" w:type="dxa"/>
          </w:tcPr>
          <w:p>
            <w:pPr>
              <w:pStyle w:val="TableText"/>
            </w:pPr>
            <w:r>
              <w:t xml:space="preserve">$0.353m</w:t>
            </w:r>
          </w:p>
        </w:tc>
        <w:tc>
          <w:tcPr>
            <w:tcW w:w="1418" w:type="dxa"/>
          </w:tcPr>
          <w:p>
            <w:pPr>
              <w:pStyle w:val="TableText"/>
            </w:pPr>
            <w:r>
              <w:t xml:space="preserve">1.154</w:t>
            </w:r>
          </w:p>
        </w:tc>
      </w:tr>
      <w:tr>
        <w:trPr>
          <w:cantSplit/>
        </w:trPr>
        <w:tc>
          <w:tcPr>
            <w:tcW w:w="4292" w:type="dxa"/>
          </w:tcPr>
          <w:p>
            <w:pPr>
              <w:pStyle w:val="TableText"/>
            </w:pPr>
            <w:r>
              <w:t xml:space="preserve">Mean–variance, λ = .20</w:t>
            </w:r>
          </w:p>
        </w:tc>
        <w:tc>
          <w:tcPr>
            <w:tcW w:w="1418" w:type="dxa"/>
          </w:tcPr>
          <w:p>
            <w:pPr>
              <w:pStyle w:val="TableText"/>
            </w:pPr>
            <w:r>
              <w:t xml:space="preserve">0.355</w:t>
            </w:r>
          </w:p>
        </w:tc>
        <w:tc>
          <w:tcPr>
            <w:tcW w:w="1418" w:type="dxa"/>
          </w:tcPr>
          <w:p>
            <w:pPr>
              <w:pStyle w:val="TableText"/>
            </w:pPr>
            <w:r>
              <w:t xml:space="preserve">1.519</w:t>
            </w:r>
          </w:p>
        </w:tc>
        <w:tc>
          <w:tcPr>
            <w:tcW w:w="1536" w:type="dxa"/>
          </w:tcPr>
          <w:p>
            <w:pPr>
              <w:pStyle w:val="TableText"/>
            </w:pPr>
            <w:r>
              <w:t xml:space="preserve">$0.452m</w:t>
            </w:r>
          </w:p>
        </w:tc>
        <w:tc>
          <w:tcPr>
            <w:tcW w:w="1418" w:type="dxa"/>
          </w:tcPr>
          <w:p>
            <w:pPr>
              <w:pStyle w:val="TableText"/>
            </w:pPr>
            <w:r>
              <w:t xml:space="preserve">0.619</w:t>
            </w:r>
          </w:p>
        </w:tc>
      </w:tr>
      <w:tr>
        <w:trPr>
          <w:cantSplit/>
        </w:trPr>
        <w:tc>
          <w:tcPr>
            <w:tcW w:w="4292" w:type="dxa"/>
          </w:tcPr>
          <w:p>
            <w:pPr>
              <w:pStyle w:val="TableText"/>
            </w:pPr>
            <w:r>
              <w:t xml:space="preserve">Q, λ = .20</w:t>
            </w:r>
          </w:p>
        </w:tc>
        <w:tc>
          <w:tcPr>
            <w:tcW w:w="1418" w:type="dxa"/>
          </w:tcPr>
          <w:p>
            <w:pPr>
              <w:pStyle w:val="TableText"/>
            </w:pPr>
            <w:r>
              <w:t xml:space="preserve">1.215</w:t>
            </w:r>
          </w:p>
        </w:tc>
        <w:tc>
          <w:tcPr>
            <w:tcW w:w="1418" w:type="dxa"/>
          </w:tcPr>
          <w:p>
            <w:pPr>
              <w:pStyle w:val="TableText"/>
            </w:pPr>
            <w:r>
              <w:t xml:space="preserve">1.726</w:t>
            </w:r>
          </w:p>
        </w:tc>
        <w:tc>
          <w:tcPr>
            <w:tcW w:w="1536" w:type="dxa"/>
          </w:tcPr>
          <w:p>
            <w:pPr>
              <w:pStyle w:val="TableText"/>
            </w:pPr>
            <w:r>
              <w:t xml:space="preserve">$1.306m</w:t>
            </w:r>
          </w:p>
        </w:tc>
        <w:tc>
          <w:tcPr>
            <w:tcW w:w="1418" w:type="dxa"/>
          </w:tcPr>
          <w:p>
            <w:pPr>
              <w:pStyle w:val="TableText"/>
            </w:pPr>
            <w:r>
              <w:t xml:space="preserve">1.353</w:t>
            </w:r>
          </w:p>
        </w:tc>
      </w:tr>
      <w:tr>
        <w:trPr>
          <w:cantSplit/>
        </w:trPr>
        <w:tc>
          <w:tcPr>
            <w:tcW w:w="4292" w:type="dxa"/>
          </w:tcPr>
          <w:p>
            <w:pPr>
              <w:pStyle w:val="TableText"/>
            </w:pPr>
            <w:r>
              <w:t xml:space="preserve">Mean–variance, λ = 1</w:t>
            </w:r>
          </w:p>
        </w:tc>
        <w:tc>
          <w:tcPr>
            <w:tcW w:w="1418" w:type="dxa"/>
          </w:tcPr>
          <w:p>
            <w:pPr>
              <w:pStyle w:val="TableText"/>
            </w:pPr>
            <w:r>
              <w:t xml:space="preserve">0.246</w:t>
            </w:r>
          </w:p>
        </w:tc>
        <w:tc>
          <w:tcPr>
            <w:tcW w:w="1418" w:type="dxa"/>
          </w:tcPr>
          <w:p>
            <w:pPr>
              <w:pStyle w:val="TableText"/>
            </w:pPr>
            <w:r>
              <w:t xml:space="preserve">1.795</w:t>
            </w:r>
          </w:p>
        </w:tc>
        <w:tc>
          <w:tcPr>
            <w:tcW w:w="1536" w:type="dxa"/>
          </w:tcPr>
          <w:p>
            <w:pPr>
              <w:pStyle w:val="TableText"/>
            </w:pPr>
            <w:r>
              <w:t xml:space="preserve">$0.439m</w:t>
            </w:r>
          </w:p>
        </w:tc>
        <w:tc>
          <w:tcPr>
            <w:tcW w:w="1418" w:type="dxa"/>
          </w:tcPr>
          <w:p>
            <w:pPr>
              <w:pStyle w:val="TableText"/>
            </w:pPr>
            <w:r>
              <w:t xml:space="preserve">0.519</w:t>
            </w:r>
          </w:p>
        </w:tc>
      </w:tr>
      <w:tr>
        <w:trPr>
          <w:cantSplit/>
        </w:trPr>
        <w:tc>
          <w:tcPr>
            <w:tcW w:w="4292" w:type="dxa"/>
          </w:tcPr>
          <w:p>
            <w:pPr>
              <w:pStyle w:val="TableText"/>
            </w:pPr>
            <w:r>
              <w:t xml:space="preserve">Q, λ = 1</w:t>
            </w:r>
          </w:p>
        </w:tc>
        <w:tc>
          <w:tcPr>
            <w:tcW w:w="1418" w:type="dxa"/>
          </w:tcPr>
          <w:p>
            <w:pPr>
              <w:pStyle w:val="TableText"/>
            </w:pPr>
            <w:r>
              <w:t xml:space="preserve">1.005</w:t>
            </w:r>
          </w:p>
        </w:tc>
        <w:tc>
          <w:tcPr>
            <w:tcW w:w="1418" w:type="dxa"/>
          </w:tcPr>
          <w:p>
            <w:pPr>
              <w:pStyle w:val="TableText"/>
            </w:pPr>
            <w:r>
              <w:t xml:space="preserve">2.152</w:t>
            </w:r>
          </w:p>
        </w:tc>
        <w:tc>
          <w:tcPr>
            <w:tcW w:w="1536" w:type="dxa"/>
          </w:tcPr>
          <w:p>
            <w:pPr>
              <w:pStyle w:val="TableText"/>
            </w:pPr>
            <w:r>
              <w:t xml:space="preserve">$1.141m</w:t>
            </w:r>
          </w:p>
        </w:tc>
        <w:tc>
          <w:tcPr>
            <w:tcW w:w="1418" w:type="dxa"/>
          </w:tcPr>
          <w:p>
            <w:pPr>
              <w:pStyle w:val="TableText"/>
            </w:pPr>
            <w:r>
              <w:t xml:space="preserve">0.985</w:t>
            </w:r>
          </w:p>
        </w:tc>
      </w:tr>
    </w:tbl>
    <w:p>
      <w:pPr>
        <w:pStyle w:val="TableGap"/>
      </w:pPr>
      <w:r>
        <w:t xml:space="preserve"/>
      </w:r>
    </w:p>
    <w:p>
      <w:pPr>
        <w:pStyle w:val="Normal"/>
      </w:pPr>
      <w:r>
        <w:t xml:space="preserve">All S columns are annualized excess Sharpe; later σ is annualized daily excess-return volatility. At λ = 0.20, Q raises later Sharpe from 1.519 to 1.726 and profit above cash from $452,303 to $1,305,940. At λ = 1, the corresponding figures are 1.795 versus 2.152 and $439,118 versus $1,141,251. Q also improves both measures at λ = 0.10 in both periods. These are portfolio comparisons, not equal-risk experiments: Q takes more realized risk.</w:t>
      </w:r>
    </w:p>
    <w:p>
      <w:pPr>
        <w:pStyle w:val="Heading2"/>
      </w:pPr>
      <w:r>
        <w:t xml:space="preserve">Why the allocation rules differ</w:t>
      </w:r>
    </w:p>
    <w:p>
      <w:pPr>
        <w:pStyle w:val="Normal"/>
      </w:pPr>
      <w:r>
        <w:t xml:space="preserve">The conventional rules summarize each trailing window with one mean and covariance estimate. Q also conditions on current volatility pricing, completed premium, VIX and relative strategy performance. At λ = 0.20, its mean later straddle target is 24.9%, versus 12.7% for mean–variance allocation. The selected intervals on page 13 have higher subsequent straddle returns and lower volatility, supporting selective participation rather than average exposure alone.</w:t>
      </w:r>
    </w:p>
    <w:p>
      <w:pPr>
        <w:pStyle w:val="Normal"/>
      </w:pPr>
      <w:r>
        <w:t xml:space="preserve">Q changes targets 24 times later, versus eight for mean–variance allocation. Removing only outer resizing charges raises their Sharpes to 1.774 and 1.525; all source trading costs remain. Lower resizing fees therefore do not explain Q’s advantage. The conventional rule uses centered variance, whereas Q penalizes the raw second moment and adds state and continuation value; identical λ values do not make these identical objectives.</w:t>
      </w:r>
    </w:p>
    <w:p>
      <w:pPr>
        <w:pStyle w:val="Normal"/>
      </w:pPr>
      <w:r>
        <w:t xml:space="preserve">The result has a clear exception: at λ = 0, conventional profit-only allocation reaches later Sharpe 1.041 and $2.154 million above cash, versus Q’s 0.671 and $1.353 million. The literal 1% monthly target used in [5] is infeasible under our allocation limits; its maximum-mean fallback is recorded separately. All 14 conventional cases and the fee diagnostics are retained in the companion results.</w:t>
      </w:r>
    </w:p>
    <w:p>
      <w:pPr>
        <w:pStyle w:val="Title"/>
        <w:pageBreakBefore/>
      </w:pPr>
      <w:r>
        <w:t xml:space="preserve">16. Interpretation, limitations and conclusion</w:t>
      </w:r>
    </w:p>
    <w:p>
      <w:pPr>
        <w:pStyle w:val="Heading2"/>
      </w:pPr>
      <w:r>
        <w:t xml:space="preserve">What the comparisons establish</w:t>
      </w:r>
    </w:p>
    <w:p>
      <w:pPr>
        <w:pStyle w:val="Normal"/>
      </w:pPr>
      <w:r>
        <w:t xml:space="preserve">Entry bandits improve the retained portfolios through sizing and admission. Q improves allocation with constant entries and exceeds the corresponding rolling mean–variance controls at λ = 0.10, 0.20 and 1. Its profit-only policy transfers less reliably when straddles weaken. Reward design changes the allocation tradeoff.</w:t>
      </w:r>
    </w:p>
    <w:p>
      <w:pPr>
        <w:pStyle w:val="Heading2"/>
      </w:pPr>
      <w:r>
        <w:t xml:space="preserve">What remains uncertain</w:t>
      </w:r>
    </w:p>
    <w:p>
      <w:pPr>
        <w:pStyle w:val="Normal"/>
      </w:pPr>
      <w:r>
        <w:t xml:space="preserve">All fitted policies use only information available before their decisions. However, strategy development included inspection of later-period results, including choices of training windows and risk preferences. Consequently, the evaluation measures historical performance under chronologically fitted policies, rather than an independently frozen test of the complete research process. The controlled comparisons provide evidence about adaptive exposure allocation under the stated assumptions, but neither the magnitude of research-selection bias nor prospective performance has been established.</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a common ledger could change admission, financing and netting.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Future work should test shared contract-level inventory, measured execution costs and additional independent signals. Learned trimming remains worth studying, although earlier gains on weak entry signals were less compelling.</w:t>
      </w:r>
    </w:p>
    <w:p>
      <w:pPr>
        <w:pStyle w:val="Normal"/>
      </w:pPr>
      <w:r>
        <w:t xml:space="preserve">Bandits adapt trade commitments; Q allocates across strategies. The four-way and conventional-benchmark comparisons support studying both exposure decisions in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15">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16">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17">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18">
        <w:r>
          <w:rPr>
            <w:color w:val="111111"/>
            <w:u w:val="single"/>
          </w:rPr>
          <w:t xml:space="preserve">https://jmlr.org/papers/v6/ernst05a.html</w:t>
        </w:r>
      </w:hyperlink>
      <w:r>
        <w:t xml:space="preserve"/>
      </w:r>
    </w:p>
    <w:p>
      <w:pPr>
        <w:pStyle w:val="Reference"/>
      </w:pPr>
      <w:r>
        <w:t xml:space="preserve">[5] Caner, M., A. Capponi, N. Sun, and J. Y. Tan (2026). Designing Agentic AI-Based Screening for Portfolio Investment. arXiv:2603.23300. </w:t>
      </w:r>
      <w:hyperlink r:id="rId19">
        <w:r>
          <w:rPr>
            <w:color w:val="111111"/>
            <w:u w:val="single"/>
          </w:rPr>
          <w:t xml:space="preserve">https://arxiv.org/abs/2603.23300</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The straddle’s 48- and 60-month windows tie at validation Sharpe 0.775; later Sharpes of 0.960 and 1.041 informed refinement. The four displayed Q preferences illustrate researched risk choices, not a single validation-winning policy. The original selection and full results remain in reports/signal_allocation_discount. The put-sizing gain is 0.208, with a paired 95% interval of −0.103 to +0.424, using 1,000 circular resamples of 126-session blocks, fixed policies and no selection adjustment. These records identify research choices without measuring their bias.</w:t>
      </w:r>
    </w:p>
    <w:p>
      <w:pPr>
        <w:pStyle w:val="Title"/>
        <w:pageBreakBefore/>
      </w:pPr>
      <w:r>
        <w:t xml:space="preserve">Appendix C. Supporting results and reproducibility</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20">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refit_timeline.png" /><ns0:Relationship Id="rId7" Type="http://schemas.openxmlformats.org/officeDocument/2006/relationships/image" Target="media/feature_validation.png" /><ns0:Relationship Id="rId8" Type="http://schemas.openxmlformats.org/officeDocument/2006/relationships/image" Target="media/entry_policy.png" /><ns0:Relationship Id="rId9" Type="http://schemas.openxmlformats.org/officeDocument/2006/relationships/image" Target="media/entry_curves.png" /><ns0:Relationship Id="rId10" Type="http://schemas.openxmlformats.org/officeDocument/2006/relationships/image" Target="media/entry_explanations.png" /><ns0:Relationship Id="rId11" Type="http://schemas.openxmlformats.org/officeDocument/2006/relationships/image" Target="media/allocation_risk.png" /><ns0:Relationship Id="rId12" Type="http://schemas.openxmlformats.org/officeDocument/2006/relationships/image" Target="media/allocation_schedule.png" /><ns0:Relationship Id="rId13" Type="http://schemas.openxmlformats.org/officeDocument/2006/relationships/image" Target="media/conditional_risk.png" /><ns0:Relationship Id="rId14" Type="http://schemas.openxmlformats.org/officeDocument/2006/relationships/image" Target="media/factorial.png" /><ns0:Relationship Id="rId15" Type="http://schemas.openxmlformats.org/officeDocument/2006/relationships/hyperlink" Target="https://arxiv.org/abs/2403.12180" TargetMode="External" /><ns0:Relationship Id="rId16" Type="http://schemas.openxmlformats.org/officeDocument/2006/relationships/hyperlink" Target="https://doi.org/10.1016/j.jfineco.2009.01.001" TargetMode="External" /><ns0:Relationship Id="rId17" Type="http://schemas.openxmlformats.org/officeDocument/2006/relationships/hyperlink" Target="https://people.smp.uq.edu.au/DirkKroese/ps/aortut.pdf" TargetMode="External" /><ns0:Relationship Id="rId18" Type="http://schemas.openxmlformats.org/officeDocument/2006/relationships/hyperlink" Target="https://jmlr.org/papers/v6/ernst05a.html" TargetMode="External" /><ns0:Relationship Id="rId19" Type="http://schemas.openxmlformats.org/officeDocument/2006/relationships/hyperlink" Target="https://arxiv.org/abs/2603.23300" TargetMode="External" /><ns0:Relationship Id="rId20" Type="http://schemas.openxmlformats.org/officeDocument/2006/relationships/hyperlink" Target="https://github.com/kreitzz/rl-atm-vega-pairs" TargetMode="External" /></ns0:Relationships>
</file>