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From Equity Pairs to Options Relative Value</w:t>
      </w:r>
    </w:p>
    <w:p>
      <w:pPr>
        <w:pStyle w:val="PaperSubtitle"/>
      </w:pPr>
      <w:r>
        <w:t>Reinforcement Learning for Trade Sizing and Capital Allocation</w:t>
      </w:r>
    </w:p>
    <w:p>
      <w:pPr>
        <w:pStyle w:val="PaperAuthor"/>
      </w:pPr>
      <w:r>
        <w:t>Adam Kreitzman and Soo Xin Yang</w:t>
      </w:r>
    </w:p>
    <w:p>
      <w:pPr>
        <w:pStyle w:val="PaperMeta"/>
      </w:pPr>
      <w:r>
        <w:t>MFE 230Z: Deep Learning in Finance</w:t>
      </w:r>
    </w:p>
    <w:p>
      <w:pPr>
        <w:pStyle w:val="PaperMeta"/>
      </w:pPr>
      <w:r>
        <w:t>16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A four-way comparison separates the learning layers: fixed entries and fixed allocation reach Sharpe 1.088; bandit entries with Q allocation reach 1.726.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3" name="Figure 3"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3" name="refit_timeline.png"/>
                    <pic:cNvPicPr/>
                  </pic:nvPicPr>
                  <pic:blipFill>
                    <a:blip r:embed="rId6"/>
                    <a:stretch>
                      <a:fillRect/>
                    </a:stretch>
                  </pic:blipFill>
                  <pic:spPr>
                    <a:xfrm>
                      <a:off x="0" y="0"/>
                      <a:ext cx="6400800" cy="2025771"/>
                    </a:xfrm>
                    <a:prstGeom prst="rect">
                      <a:avLst/>
                    </a:prstGeom>
                  </pic:spPr>
                </pic:pic>
              </a:graphicData>
            </a:graphic>
          </wp:inline>
        </w:drawing>
      </w:r>
    </w:p>
    <w:p>
      <w:pPr>
        <w:pStyle w:val="Caption"/>
      </w:pPr>
      <w:r>
        <w:t xml:space="preserve">Figure 3.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7.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4" name="Figure 4"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4" name="feature_validation.png"/>
                    <pic:cNvPicPr/>
                  </pic:nvPicPr>
                  <pic:blipFill>
                    <a:blip r:embed="rId7"/>
                    <a:stretch>
                      <a:fillRect/>
                    </a:stretch>
                  </pic:blipFill>
                  <pic:spPr>
                    <a:xfrm>
                      <a:off x="0" y="0"/>
                      <a:ext cx="6400800" cy="3155324"/>
                    </a:xfrm>
                    <a:prstGeom prst="rect">
                      <a:avLst/>
                    </a:prstGeom>
                  </pic:spPr>
                </pic:pic>
              </a:graphicData>
            </a:graphic>
          </wp:inline>
        </w:drawing>
      </w:r>
    </w:p>
    <w:p>
      <w:pPr>
        <w:pStyle w:val="Caption"/>
      </w:pPr>
      <w:r>
        <w:t xml:space="preserve">Figure 4.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8.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5" name="Figure 5"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5" name="entry_policy.png"/>
                    <pic:cNvPicPr/>
                  </pic:nvPicPr>
                  <pic:blipFill>
                    <a:blip r:embed="rId8"/>
                    <a:stretch>
                      <a:fillRect/>
                    </a:stretch>
                  </pic:blipFill>
                  <pic:spPr>
                    <a:xfrm>
                      <a:off x="0" y="0"/>
                      <a:ext cx="6400800" cy="3017444"/>
                    </a:xfrm>
                    <a:prstGeom prst="rect">
                      <a:avLst/>
                    </a:prstGeom>
                  </pic:spPr>
                </pic:pic>
              </a:graphicData>
            </a:graphic>
          </wp:inline>
        </w:drawing>
      </w:r>
    </w:p>
    <w:p>
      <w:pPr>
        <w:pStyle w:val="Caption"/>
      </w:pPr>
      <w:r>
        <w:t xml:space="preserve">Figure 5.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9. Does learned entry sizing improve returns?</w:t>
      </w:r>
    </w:p>
    <w:p>
      <w:pPr>
        <w:pStyle w:val="Figure"/>
      </w:pPr>
      <w:r>
        <w:t xml:space="preserve"/>
      </w:r>
      <w:r>
        <w:drawing>
          <wp:inline distT="0" distB="0" distL="0" distR="0">
            <wp:extent cx="6400800" cy="2656836"/>
            <wp:docPr id="6" name="Figure 6" descr="Cumulative profit above cash after the 2021 close, retaining carried positions. The underlying accounts continue from 2018. Panel scales differ because the signals have different risk and profit magnitudes."/>
            <a:graphic>
              <a:graphicData uri="http://schemas.openxmlformats.org/drawingml/2006/picture">
                <pic:pic>
                  <pic:nvPicPr>
                    <pic:cNvPr id="6" name="entry_curves.png"/>
                    <pic:cNvPicPr/>
                  </pic:nvPicPr>
                  <pic:blipFill>
                    <a:blip r:embed="rId9"/>
                    <a:stretch>
                      <a:fillRect/>
                    </a:stretch>
                  </pic:blipFill>
                  <pic:spPr>
                    <a:xfrm>
                      <a:off x="0" y="0"/>
                      <a:ext cx="6400800" cy="2656836"/>
                    </a:xfrm>
                    <a:prstGeom prst="rect">
                      <a:avLst/>
                    </a:prstGeom>
                  </pic:spPr>
                </pic:pic>
              </a:graphicData>
            </a:graphic>
          </wp:inline>
        </w:drawing>
      </w:r>
    </w:p>
    <w:p>
      <w:pPr>
        <w:pStyle w:val="Caption"/>
      </w:pPr>
      <w:r>
        <w:t xml:space="preserve">Figure 6. Cumulative profit above cash after the 2021 close, retaining carried positions. The underlying accounts continue from 2018. Panel scales differ because the signals have different risk and profit magnitudes.</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10. Explaining the bandits’ decisions</w:t>
      </w:r>
    </w:p>
    <w:p>
      <w:pPr>
        <w:pStyle w:val="Figure"/>
      </w:pPr>
      <w:r>
        <w:t xml:space="preserve"/>
      </w:r>
      <w:r>
        <w:drawing>
          <wp:inline distT="0" distB="0" distL="0" distR="0">
            <wp:extent cx="6400800" cy="2656836"/>
            <wp:docPr id="7" name="Figure 7"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7" name="entry_explanations.png"/>
                    <pic:cNvPicPr/>
                  </pic:nvPicPr>
                  <pic:blipFill>
                    <a:blip r:embed="rId10"/>
                    <a:stretch>
                      <a:fillRect/>
                    </a:stretch>
                  </pic:blipFill>
                  <pic:spPr>
                    <a:xfrm>
                      <a:off x="0" y="0"/>
                      <a:ext cx="6400800" cy="2656836"/>
                    </a:xfrm>
                    <a:prstGeom prst="rect">
                      <a:avLst/>
                    </a:prstGeom>
                  </pic:spPr>
                </pic:pic>
              </a:graphicData>
            </a:graphic>
          </wp:inline>
        </w:drawing>
      </w:r>
    </w:p>
    <w:p>
      <w:pPr>
        <w:pStyle w:val="Caption"/>
      </w:pPr>
      <w:r>
        <w:t xml:space="preserve">Figure 7.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11.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zero it rewards normalized profit without a variance penalty; it does not maximize Sharpe directly. The discount γ = 0.99 separately weights continuation value. The reward permits a range of risk preferences instead of requiring one policy to maximize dollar profit and Sharpe simultaneously.</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12. Risk preference changes the allocation tradeoff</w:t>
      </w:r>
    </w:p>
    <w:p>
      <w:pPr>
        <w:pStyle w:val="Figure"/>
      </w:pPr>
      <w:r>
        <w:t xml:space="preserve"/>
      </w:r>
      <w:r>
        <w:drawing>
          <wp:inline distT="0" distB="0" distL="0" distR="0">
            <wp:extent cx="6400800" cy="3335628"/>
            <wp:docPr id="8" name="Figure 8"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8" name="allocation_risk.png"/>
                    <pic:cNvPicPr/>
                  </pic:nvPicPr>
                  <pic:blipFill>
                    <a:blip r:embed="rId11"/>
                    <a:stretch>
                      <a:fillRect/>
                    </a:stretch>
                  </pic:blipFill>
                  <pic:spPr>
                    <a:xfrm>
                      <a:off x="0" y="0"/>
                      <a:ext cx="6400800" cy="3335628"/>
                    </a:xfrm>
                    <a:prstGeom prst="rect">
                      <a:avLst/>
                    </a:prstGeom>
                  </pic:spPr>
                </pic:pic>
              </a:graphicData>
            </a:graphic>
          </wp:inline>
        </w:drawing>
      </w:r>
    </w:p>
    <w:p>
      <w:pPr>
        <w:pStyle w:val="Caption"/>
      </w:pPr>
      <w:r>
        <w:t xml:space="preserve">Figure 8. Bandit-managed source portfolios; nine-input Q state and γ = 0.99. Gray labels are fixed straddle percentages; the remainder goes to put pairs. Lines connect discrete policies. Both axes have the same scales across periods; 2025 ends in August.</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The zero-penalty result is informative. Validation Sharpe is 1.427 but later Sharpe falls to 0.671. It chooses straddles alone in 138 of 191 later decisions, versus 46 at λ = 0.20 and 31 at λ = 1. Its mean straddle target is 73.2%, versus 24.9% and 16.9%. Increasing Bellman updates from 200 to 500, 1,000 and 2,000 changes no later decision for the four settings. Insufficient iteration is therefore not the explanation in this check.</w:t>
      </w:r>
    </w:p>
    <w:p>
      <w:pPr>
        <w:pStyle w:val="Title"/>
        <w:pageBreakBefore/>
      </w:pPr>
      <w:r>
        <w:t xml:space="preserve">13.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9" name="Figure 9"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9" name="allocation_schedule.png"/>
                    <pic:cNvPicPr/>
                  </pic:nvPicPr>
                  <pic:blipFill>
                    <a:blip r:embed="rId12"/>
                    <a:stretch>
                      <a:fillRect/>
                    </a:stretch>
                  </pic:blipFill>
                  <pic:spPr>
                    <a:xfrm>
                      <a:off x="0" y="0"/>
                      <a:ext cx="6400800" cy="2253803"/>
                    </a:xfrm>
                    <a:prstGeom prst="rect">
                      <a:avLst/>
                    </a:prstGeom>
                  </pic:spPr>
                </pic:pic>
              </a:graphicData>
            </a:graphic>
          </wp:inline>
        </w:drawing>
      </w:r>
    </w:p>
    <w:p>
      <w:pPr>
        <w:pStyle w:val="Caption"/>
      </w:pPr>
      <w:r>
        <w:t xml:space="preserve">Figure 9.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0" name="Figure 10"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0" name="conditional_risk.png"/>
                    <pic:cNvPicPr/>
                  </pic:nvPicPr>
                  <pic:blipFill>
                    <a:blip r:embed="rId13"/>
                    <a:stretch>
                      <a:fillRect/>
                    </a:stretch>
                  </pic:blipFill>
                  <pic:spPr>
                    <a:xfrm>
                      <a:off x="0" y="0"/>
                      <a:ext cx="6400800" cy="2524259"/>
                    </a:xfrm>
                    <a:prstGeom prst="rect">
                      <a:avLst/>
                    </a:prstGeom>
                  </pic:spPr>
                </pic:pic>
              </a:graphicData>
            </a:graphic>
          </wp:inline>
        </w:drawing>
      </w:r>
    </w:p>
    <w:p>
      <w:pPr>
        <w:pStyle w:val="Caption"/>
      </w:pPr>
      <w:r>
        <w:t xml:space="preserve">Figure 10.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These are realized conditional statistics on noncontiguous dates, not causal estimates or standalone strategy Sharpes. They include source costs but exclude additional outer resizing charges.</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14. Separating the two learning layers</w:t>
      </w:r>
    </w:p>
    <w:p>
      <w:pPr>
        <w:pStyle w:val="Figure"/>
      </w:pPr>
      <w:r>
        <w:t xml:space="preserve"/>
      </w:r>
      <w:r>
        <w:drawing>
          <wp:inline distT="0" distB="0" distL="0" distR="0">
            <wp:extent cx="6400800" cy="2704563"/>
            <wp:docPr id="11" name="Figure 11"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1" name="factorial.png"/>
                    <pic:cNvPicPr/>
                  </pic:nvPicPr>
                  <pic:blipFill>
                    <a:blip r:embed="rId14"/>
                    <a:stretch>
                      <a:fillRect/>
                    </a:stretch>
                  </pic:blipFill>
                  <pic:spPr>
                    <a:xfrm>
                      <a:off x="0" y="0"/>
                      <a:ext cx="6400800" cy="2704563"/>
                    </a:xfrm>
                    <a:prstGeom prst="rect">
                      <a:avLst/>
                    </a:prstGeom>
                  </pic:spPr>
                </pic:pic>
              </a:graphicData>
            </a:graphic>
          </wp:inline>
        </w:drawing>
      </w:r>
    </w:p>
    <w:p>
      <w:pPr>
        <w:pStyle w:val="Caption"/>
      </w:pPr>
      <w:r>
        <w:t xml:space="preserve">Figure 11. Cell values are annualized excess Sharpe at λ = 0.20. Fixed entry size is 100%; fixed capital allocation is 50/50. Q is independently fitted on each entry family’s actual returns and costs.</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15. Interpretation, limitations and conclusion</w:t>
      </w:r>
    </w:p>
    <w:p>
      <w:pPr>
        <w:pStyle w:val="Heading2"/>
      </w:pPr>
      <w:r>
        <w:t xml:space="preserve">What the comparisons establish</w:t>
      </w:r>
    </w:p>
    <w:p>
      <w:pPr>
        <w:pStyle w:val="Normal"/>
      </w:pPr>
      <w:r>
        <w:t xml:space="preserve">Entry bandits improve the retained portfolios through both requested size and admission. Q improves allocation even with constant entry size. Reward design matters: the zero-penalty profit objective transfers less reliably. The preferred combination depends on the investor’s profit–risk preference.</w:t>
      </w:r>
    </w:p>
    <w:p>
      <w:pPr>
        <w:pStyle w:val="Heading2"/>
      </w:pPr>
      <w:r>
        <w:t xml:space="preserve">What remains uncertain</w:t>
      </w:r>
    </w:p>
    <w:p>
      <w:pPr>
        <w:pStyle w:val="Normal"/>
      </w:pPr>
      <w:r>
        <w:t xml:space="preserve">The estimates come from one researched historical universe. Individual fits use completed past outcomes; that chronological protection is distinct from uncertainty introduced by searching signals and specifications. The original put-sizing Sharpe gain has a paired 95% block interval of −0.103 to +0.424. Entry-size shuffles and feature substitutions also give mixed results. We therefore distinguish favorable point estimates and decision explanations from a statistically established, selection-adjusted learning advantage. Appendix B records the selection history and inference conventions.</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a common ledger could change admission, financing and netting.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Future work should test a common contract-level ledger, measured execution costs and additional independently developed signals. Learned trimming remains worth studying, although earlier improvements on weak entry signals were less compelling than improving exposure to useful signals.</w:t>
      </w:r>
    </w:p>
    <w:p>
      <w:pPr>
        <w:pStyle w:val="Normal"/>
      </w:pPr>
      <w:r>
        <w:t xml:space="preserve">Learning exposure is useful at two levels in these simulations. Bandits adapt individual entry commitments; Q-learning decides when competing strategies deserve capital. The four-way comparison and fixed-entry controls make their contributions separately visible. The results motivate an integrated implementation and prospective evaluation.</w:t>
      </w:r>
    </w:p>
    <w:p>
      <w:pPr>
        <w:pStyle w:val="Heading2"/>
      </w:pPr>
      <w:r>
        <w:t xml:space="preserve">References</w:t>
      </w:r>
    </w:p>
    <w:p>
      <w:pPr>
        <w:pStyle w:val="Reference"/>
      </w:pPr>
      <w:r>
        <w:t xml:space="preserve">[1] Ning, B., and K. Lee (2024). Advanced Statistical Arbitrage with Reinforcement Learning. arXiv:2403.12180. </w:t>
      </w:r>
      <w:hyperlink r:id="rId15">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16">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17">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18">
        <w:r>
          <w:rPr>
            <w:color w:val="111111"/>
            <w:u w:val="single"/>
          </w:rPr>
          <w:t xml:space="preserve">https://jmlr.org/papers/v6/ernst05a.html</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Straddle specification search inspected both reporting periods; its record is preserved. The four Q preferences describe researched risk choices and do not replace the original validation-selection record. Chronological fitting and selection independence are distinct. The put interval uses 1,000 paired circular resamples of 126-session blocks, with fixed policies and no research-selection adjustment. A prospectively frozen evaluation remains open.</w:t>
      </w:r>
    </w:p>
    <w:p>
      <w:pPr>
        <w:pStyle w:val="Title"/>
        <w:pageBreakBefore/>
      </w:pPr>
      <w:r>
        <w:t xml:space="preserve">Appendix C. Supporting results and reproducibility</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19">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refit_timeline.png" /><ns0:Relationship Id="rId7" Type="http://schemas.openxmlformats.org/officeDocument/2006/relationships/image" Target="media/feature_validation.png" /><ns0:Relationship Id="rId8" Type="http://schemas.openxmlformats.org/officeDocument/2006/relationships/image" Target="media/entry_policy.png" /><ns0:Relationship Id="rId9" Type="http://schemas.openxmlformats.org/officeDocument/2006/relationships/image" Target="media/entry_curves.png" /><ns0:Relationship Id="rId10" Type="http://schemas.openxmlformats.org/officeDocument/2006/relationships/image" Target="media/entry_explanations.png" /><ns0:Relationship Id="rId11" Type="http://schemas.openxmlformats.org/officeDocument/2006/relationships/image" Target="media/allocation_risk.png" /><ns0:Relationship Id="rId12" Type="http://schemas.openxmlformats.org/officeDocument/2006/relationships/image" Target="media/allocation_schedule.png" /><ns0:Relationship Id="rId13" Type="http://schemas.openxmlformats.org/officeDocument/2006/relationships/image" Target="media/conditional_risk.png" /><ns0:Relationship Id="rId14" Type="http://schemas.openxmlformats.org/officeDocument/2006/relationships/image" Target="media/factorial.png" /><ns0:Relationship Id="rId15" Type="http://schemas.openxmlformats.org/officeDocument/2006/relationships/hyperlink" Target="https://arxiv.org/abs/2403.12180" TargetMode="External" /><ns0:Relationship Id="rId16" Type="http://schemas.openxmlformats.org/officeDocument/2006/relationships/hyperlink" Target="https://doi.org/10.1016/j.jfineco.2009.01.001" TargetMode="External" /><ns0:Relationship Id="rId17" Type="http://schemas.openxmlformats.org/officeDocument/2006/relationships/hyperlink" Target="https://people.smp.uq.edu.au/DirkKroese/ps/aortut.pdf" TargetMode="External" /><ns0:Relationship Id="rId18" Type="http://schemas.openxmlformats.org/officeDocument/2006/relationships/hyperlink" Target="https://jmlr.org/papers/v6/ernst05a.html" TargetMode="External" /><ns0:Relationship Id="rId19" Type="http://schemas.openxmlformats.org/officeDocument/2006/relationships/hyperlink" Target="https://github.com/kreitzz/rl-atm-vega-pairs" TargetMode="External" /></ns0:Relationships>
</file>