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0EC99" w14:textId="77777777" w:rsidR="005B347F" w:rsidRDefault="005B347F" w:rsidP="005B347F">
      <w:r>
        <w:t>Aquí tienes una lista de 10 estudios de mercado sobre diferentes productos y sectores. Algunos son de acceso público (informes de organismos internacionales, tesis, artículos académicos) y otros son informes comerciales de consultoras especializadas. Los he organizado por tipo de producto y contexto geográfico.</w:t>
      </w:r>
    </w:p>
    <w:p w14:paraId="53C157BD" w14:textId="77777777" w:rsidR="005B347F" w:rsidRDefault="005B347F" w:rsidP="005B347F">
      <w:r>
        <w:rPr>
          <w:rFonts w:ascii="Segoe UI Emoji" w:hAnsi="Segoe UI Emoji" w:cs="Segoe UI Emoji"/>
        </w:rPr>
        <w:t>📋</w:t>
      </w:r>
      <w:r>
        <w:t xml:space="preserve"> Lista de estudios de mercado</w:t>
      </w:r>
    </w:p>
    <w:p w14:paraId="3B4FC34E" w14:textId="77777777" w:rsidR="005B347F" w:rsidRDefault="005B347F" w:rsidP="005B347F">
      <w:r>
        <w:t>1. Vehículos eléctricos en Cuba (6Wresearch)</w:t>
      </w:r>
    </w:p>
    <w:p w14:paraId="7E045269" w14:textId="77777777" w:rsidR="005B347F" w:rsidRDefault="005B347F" w:rsidP="005B347F"/>
    <w:p w14:paraId="06DA8680" w14:textId="77777777" w:rsidR="005B347F" w:rsidRDefault="005B347F" w:rsidP="005B347F">
      <w:r>
        <w:t xml:space="preserve">Informe comercial que analiza el mercado cubano de coches eléctricos con proyecciones a 2032. Segmenta por tipo de propulsión (BEV, PHEV, FCEV, HEV) e incluye análisis de importaciones, tendencias de precios y panorama </w:t>
      </w:r>
      <w:proofErr w:type="gramStart"/>
      <w:r>
        <w:t>competitivo .</w:t>
      </w:r>
      <w:proofErr w:type="gramEnd"/>
      <w:r>
        <w:t xml:space="preserve"> Existe una versión específica para vehículos de nueva energía (incluyendo </w:t>
      </w:r>
      <w:proofErr w:type="spellStart"/>
      <w:r>
        <w:t>scooters</w:t>
      </w:r>
      <w:proofErr w:type="spellEnd"/>
      <w:r>
        <w:t xml:space="preserve"> y buses) y otra enfocada en vehículos eléctricos con batería (BEV</w:t>
      </w:r>
      <w:proofErr w:type="gramStart"/>
      <w:r>
        <w:t>) .</w:t>
      </w:r>
      <w:proofErr w:type="gramEnd"/>
    </w:p>
    <w:p w14:paraId="086695D3" w14:textId="77777777" w:rsidR="005B347F" w:rsidRDefault="005B347F" w:rsidP="005B347F">
      <w:r>
        <w:t>2. Vehículos eléctricos en Cuba: VEDCA y movilidad (ITESO)</w:t>
      </w:r>
    </w:p>
    <w:p w14:paraId="628E7167" w14:textId="77777777" w:rsidR="005B347F" w:rsidRDefault="005B347F" w:rsidP="005B347F"/>
    <w:p w14:paraId="0DA16DA3" w14:textId="77777777" w:rsidR="005B347F" w:rsidRDefault="005B347F" w:rsidP="005B347F">
      <w:r>
        <w:t xml:space="preserve">Estudio de caso sobre la empresa VEDCA (Vehículos Eléctricos del Caribe) en Cuba. Analiza la cadena de suministro de componentes desde China, políticas de reciclaje de baterías y relaciones con el gobierno cubano para promover la movilidad eléctrica en transporte público y </w:t>
      </w:r>
      <w:proofErr w:type="gramStart"/>
      <w:r>
        <w:t>privado .</w:t>
      </w:r>
      <w:proofErr w:type="gramEnd"/>
    </w:p>
    <w:p w14:paraId="04F7CB4D" w14:textId="77777777" w:rsidR="005B347F" w:rsidRDefault="005B347F" w:rsidP="005B347F">
      <w:r>
        <w:t>3. Cadena de valor de frutales en Cuba (PNUD/CEPAL)</w:t>
      </w:r>
    </w:p>
    <w:p w14:paraId="313F0E95" w14:textId="77777777" w:rsidR="005B347F" w:rsidRDefault="005B347F" w:rsidP="005B347F"/>
    <w:p w14:paraId="5B1F3A27" w14:textId="77777777" w:rsidR="005B347F" w:rsidRDefault="005B347F" w:rsidP="005B347F">
      <w:r>
        <w:t xml:space="preserve">Estudio de mercado realizado en municipios de Artemisa entre 2019-2020. Aplica metodología de cadenas de valor para analizar producto, demanda, oferta, canales de distribución y precios, con el objetivo de mejorar el desempeño de la cadena agroalimentaria de frutales en </w:t>
      </w:r>
      <w:proofErr w:type="gramStart"/>
      <w:r>
        <w:t>Cuba .</w:t>
      </w:r>
      <w:proofErr w:type="gramEnd"/>
    </w:p>
    <w:p w14:paraId="5806C3B5" w14:textId="77777777" w:rsidR="005B347F" w:rsidRDefault="005B347F" w:rsidP="005B347F">
      <w:r>
        <w:t>4. Movilidad eléctrica en América Latina y el Caribe (OLADE)</w:t>
      </w:r>
    </w:p>
    <w:p w14:paraId="168ED2EB" w14:textId="77777777" w:rsidR="005B347F" w:rsidRDefault="005B347F" w:rsidP="005B347F"/>
    <w:p w14:paraId="003E44E3" w14:textId="77777777" w:rsidR="005B347F" w:rsidRDefault="005B347F" w:rsidP="005B347F">
      <w:r>
        <w:t xml:space="preserve">Monitor regional que analiza el mercado de vehículos eléctricos en ALC. Cubre ventas, parque vehicular, infraestructura de recarga y beneficios económicos (ahorro en combustibles). Brasil lidera el mercado, con Chile destacado en buses </w:t>
      </w:r>
      <w:proofErr w:type="gramStart"/>
      <w:r>
        <w:t>eléctricos .</w:t>
      </w:r>
      <w:proofErr w:type="gramEnd"/>
    </w:p>
    <w:p w14:paraId="6FE55ED3" w14:textId="77777777" w:rsidR="005B347F" w:rsidRDefault="005B347F" w:rsidP="005B347F">
      <w:r>
        <w:t>5. Preferencias del consumidor para vehículos eléctricos en India (IEEE)</w:t>
      </w:r>
    </w:p>
    <w:p w14:paraId="4D73C4DB" w14:textId="77777777" w:rsidR="005B347F" w:rsidRDefault="005B347F" w:rsidP="005B347F"/>
    <w:p w14:paraId="6D53E5B0" w14:textId="77777777" w:rsidR="005B347F" w:rsidRDefault="005B347F" w:rsidP="005B347F">
      <w:r>
        <w:t xml:space="preserve">Estudio académico que aplica encuestas y machine </w:t>
      </w:r>
      <w:proofErr w:type="spellStart"/>
      <w:r>
        <w:t>learning</w:t>
      </w:r>
      <w:proofErr w:type="spellEnd"/>
      <w:r>
        <w:t xml:space="preserve"> (K-</w:t>
      </w:r>
      <w:proofErr w:type="spellStart"/>
      <w:r>
        <w:t>means</w:t>
      </w:r>
      <w:proofErr w:type="spellEnd"/>
      <w:r>
        <w:t xml:space="preserve">) a 285 consumidores indios. Identifica que la preocupación ambiental (43.9%) y los bajos </w:t>
      </w:r>
      <w:r>
        <w:lastRenderedPageBreak/>
        <w:t xml:space="preserve">costos operativos (28.4%) son los principales impulsores de adopción, mientras que el alto precio (32.6%) y la falta de infraestructura de carga (28.8%) son las principales </w:t>
      </w:r>
      <w:proofErr w:type="gramStart"/>
      <w:r>
        <w:t>barreras .</w:t>
      </w:r>
      <w:proofErr w:type="gramEnd"/>
    </w:p>
    <w:p w14:paraId="469F92DD" w14:textId="77777777" w:rsidR="005B347F" w:rsidRDefault="005B347F" w:rsidP="005B347F">
      <w:r>
        <w:t>6. Adopción de vehículos eléctricos en Estados Unidos (</w:t>
      </w:r>
      <w:proofErr w:type="spellStart"/>
      <w:r>
        <w:t>ScienceDirect</w:t>
      </w:r>
      <w:proofErr w:type="spellEnd"/>
      <w:r>
        <w:t>)</w:t>
      </w:r>
    </w:p>
    <w:p w14:paraId="72D200EC" w14:textId="77777777" w:rsidR="005B347F" w:rsidRDefault="005B347F" w:rsidP="005B347F"/>
    <w:p w14:paraId="7D7A595D" w14:textId="77777777" w:rsidR="005B347F" w:rsidRDefault="005B347F" w:rsidP="005B347F">
      <w:r>
        <w:t xml:space="preserve">Estudio basado en encuesta a 1,443 residentes estadounidenses. Analiza percepciones, conocimiento y patrones de adopción de BEV usando modelos de regresión logística. Encuentra que los usuarios actuales de BEV tienen menos preocupaciones sobre autonomía y valor de reventa que los no </w:t>
      </w:r>
      <w:proofErr w:type="gramStart"/>
      <w:r>
        <w:t>usuarios .</w:t>
      </w:r>
      <w:proofErr w:type="gramEnd"/>
    </w:p>
    <w:p w14:paraId="59C339E6" w14:textId="77777777" w:rsidR="005B347F" w:rsidRDefault="005B347F" w:rsidP="005B347F">
      <w:r>
        <w:t>7. Segmentación psicográfica para adopción de VE en India urbana (</w:t>
      </w:r>
      <w:proofErr w:type="spellStart"/>
      <w:r>
        <w:t>ScienceDirect</w:t>
      </w:r>
      <w:proofErr w:type="spellEnd"/>
      <w:r>
        <w:t>)</w:t>
      </w:r>
    </w:p>
    <w:p w14:paraId="319102CC" w14:textId="77777777" w:rsidR="005B347F" w:rsidRDefault="005B347F" w:rsidP="005B347F"/>
    <w:p w14:paraId="23252893" w14:textId="77777777" w:rsidR="005B347F" w:rsidRDefault="005B347F" w:rsidP="005B347F">
      <w:r>
        <w:t xml:space="preserve">Investigación que utiliza </w:t>
      </w:r>
      <w:proofErr w:type="spellStart"/>
      <w:r>
        <w:t>Latent</w:t>
      </w:r>
      <w:proofErr w:type="spellEnd"/>
      <w:r>
        <w:t xml:space="preserve"> </w:t>
      </w:r>
      <w:proofErr w:type="spellStart"/>
      <w:r>
        <w:t>Profile</w:t>
      </w:r>
      <w:proofErr w:type="spellEnd"/>
      <w:r>
        <w:t xml:space="preserve"> </w:t>
      </w:r>
      <w:proofErr w:type="spellStart"/>
      <w:r>
        <w:t>Analysis</w:t>
      </w:r>
      <w:proofErr w:type="spellEnd"/>
      <w:r>
        <w:t xml:space="preserve"> (LPA) para segmentar consumidores según sus actitudes y valores hacia los vehículos eléctricos. Identifica cinco perfiles psicográficos distintos, superando la simple dicotomía usuario/no </w:t>
      </w:r>
      <w:proofErr w:type="gramStart"/>
      <w:r>
        <w:t>usuario .</w:t>
      </w:r>
      <w:proofErr w:type="gramEnd"/>
    </w:p>
    <w:p w14:paraId="6392486C" w14:textId="77777777" w:rsidR="005B347F" w:rsidRDefault="005B347F" w:rsidP="005B347F">
      <w:r>
        <w:t>8. Mercado global de vehículos eléctricos 2026-2030 (</w:t>
      </w:r>
      <w:proofErr w:type="spellStart"/>
      <w:r>
        <w:t>Research</w:t>
      </w:r>
      <w:proofErr w:type="spellEnd"/>
      <w:r>
        <w:t xml:space="preserve"> and </w:t>
      </w:r>
      <w:proofErr w:type="spellStart"/>
      <w:r>
        <w:t>Markets</w:t>
      </w:r>
      <w:proofErr w:type="spellEnd"/>
      <w:r>
        <w:t>)</w:t>
      </w:r>
    </w:p>
    <w:p w14:paraId="7DF139D6" w14:textId="77777777" w:rsidR="005B347F" w:rsidRDefault="005B347F" w:rsidP="005B347F"/>
    <w:p w14:paraId="2A44C872" w14:textId="77777777" w:rsidR="005B347F" w:rsidRDefault="005B347F" w:rsidP="005B347F">
      <w:r>
        <w:t xml:space="preserve">Informe comercial que analiza el mercado global de VE con proyecciones hasta 2030. Incluye análisis de sensibilidad al precio, ciclo de vida, tasas de adopción, criterios de compra, cadena de valor y análisis de las cinco fuerzas de </w:t>
      </w:r>
      <w:proofErr w:type="gramStart"/>
      <w:r>
        <w:t>Porter .</w:t>
      </w:r>
      <w:proofErr w:type="gramEnd"/>
    </w:p>
    <w:p w14:paraId="2BCA8113" w14:textId="77777777" w:rsidR="005B347F" w:rsidRDefault="005B347F" w:rsidP="005B347F">
      <w:r>
        <w:t>9. Estudio de mercado para empresas cubanas: enfoque metodológico (ANEC)</w:t>
      </w:r>
    </w:p>
    <w:p w14:paraId="12C69092" w14:textId="77777777" w:rsidR="005B347F" w:rsidRDefault="005B347F" w:rsidP="005B347F"/>
    <w:p w14:paraId="66A4DC45" w14:textId="77777777" w:rsidR="005B347F" w:rsidRDefault="005B347F" w:rsidP="005B347F">
      <w:r>
        <w:t xml:space="preserve">Documento metodológico que describe cómo realizar estudios de mercado centrados en el producto para empresas cubanas. Cubre reglamentaciones comerciales, análisis de competencia, estructura de precios, definición del mercado meta y perfil socioeconómico del </w:t>
      </w:r>
      <w:proofErr w:type="gramStart"/>
      <w:r>
        <w:t>consumidor .</w:t>
      </w:r>
      <w:proofErr w:type="gramEnd"/>
    </w:p>
    <w:p w14:paraId="5DA33BD9" w14:textId="77777777" w:rsidR="005B347F" w:rsidRDefault="005B347F" w:rsidP="005B347F">
      <w:r>
        <w:t>10. Auditoría de marketing en la banca cubana (Universidad de La Habana)</w:t>
      </w:r>
    </w:p>
    <w:p w14:paraId="5A3BEC8A" w14:textId="77777777" w:rsidR="005B347F" w:rsidRDefault="005B347F" w:rsidP="005B347F"/>
    <w:p w14:paraId="47EE5BE0" w14:textId="77777777" w:rsidR="005B347F" w:rsidRDefault="005B347F" w:rsidP="005B347F">
      <w:r>
        <w:t xml:space="preserve">Estudio que aplica auditoría de marketing al Banco de Crédito y Comercio de Cuba. Analiza macroentorno, microentorno, estrategia de marketing y mezcla de marketing mediante cuestionarios a 15 expertos. Es un ejemplo de estudio de mercado de servicios financieros en </w:t>
      </w:r>
      <w:proofErr w:type="gramStart"/>
      <w:r>
        <w:t>Cuba .</w:t>
      </w:r>
      <w:proofErr w:type="gramEnd"/>
    </w:p>
    <w:p w14:paraId="1E476FE0" w14:textId="77777777" w:rsidR="005B347F" w:rsidRDefault="005B347F" w:rsidP="005B347F">
      <w:r>
        <w:rPr>
          <w:rFonts w:ascii="Segoe UI Emoji" w:hAnsi="Segoe UI Emoji" w:cs="Segoe UI Emoji"/>
        </w:rPr>
        <w:t>💡</w:t>
      </w:r>
      <w:r>
        <w:t xml:space="preserve"> Observación para tu caso</w:t>
      </w:r>
    </w:p>
    <w:p w14:paraId="359BB380" w14:textId="77777777" w:rsidR="005B347F" w:rsidRDefault="005B347F" w:rsidP="005B347F"/>
    <w:p w14:paraId="31420826" w14:textId="77777777" w:rsidR="005B347F" w:rsidRDefault="005B347F" w:rsidP="005B347F">
      <w:r>
        <w:lastRenderedPageBreak/>
        <w:t>Si tu objetivo es formular una encuesta sobre vehículos eléctricos para trabajadores por cuenta propia que rentan viviendas, los estudios #1, #4, #5 y #7 son los más directamente relevantes:</w:t>
      </w:r>
    </w:p>
    <w:p w14:paraId="4D3F5AB1" w14:textId="77777777" w:rsidR="005B347F" w:rsidRDefault="005B347F" w:rsidP="005B347F"/>
    <w:p w14:paraId="12871DAF" w14:textId="77777777" w:rsidR="005B347F" w:rsidRDefault="005B347F" w:rsidP="005B347F">
      <w:r>
        <w:t xml:space="preserve">    El #1 te da el contexto del mercado cubano específico.</w:t>
      </w:r>
    </w:p>
    <w:p w14:paraId="648A6CD5" w14:textId="77777777" w:rsidR="005B347F" w:rsidRDefault="005B347F" w:rsidP="005B347F"/>
    <w:p w14:paraId="2D7E124E" w14:textId="77777777" w:rsidR="005B347F" w:rsidRDefault="005B347F" w:rsidP="005B347F">
      <w:r>
        <w:t xml:space="preserve">    El #4 te ubica en el contexto regional latinoamericano.</w:t>
      </w:r>
    </w:p>
    <w:p w14:paraId="5890F587" w14:textId="77777777" w:rsidR="005B347F" w:rsidRDefault="005B347F" w:rsidP="005B347F"/>
    <w:p w14:paraId="55F40211" w14:textId="4C2828EA" w:rsidR="009246E6" w:rsidRDefault="005B347F" w:rsidP="005B347F">
      <w:r>
        <w:t xml:space="preserve">    El #5 y #7 te muestran metodologías de segmentación y análisis de barreras que podrías replicar o adaptar.</w:t>
      </w:r>
    </w:p>
    <w:sectPr w:rsidR="009246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47F"/>
    <w:rsid w:val="000E3FC8"/>
    <w:rsid w:val="005B347F"/>
    <w:rsid w:val="009246E6"/>
    <w:rsid w:val="00B130DD"/>
    <w:rsid w:val="00B41E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098D8"/>
  <w15:chartTrackingRefBased/>
  <w15:docId w15:val="{41252250-D61E-41FF-A8DA-F8EB56CD3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34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34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347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347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347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34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34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34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34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347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347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347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347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347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34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34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34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347F"/>
    <w:rPr>
      <w:rFonts w:eastAsiaTheme="majorEastAsia" w:cstheme="majorBidi"/>
      <w:color w:val="272727" w:themeColor="text1" w:themeTint="D8"/>
    </w:rPr>
  </w:style>
  <w:style w:type="paragraph" w:styleId="Ttulo">
    <w:name w:val="Title"/>
    <w:basedOn w:val="Normal"/>
    <w:next w:val="Normal"/>
    <w:link w:val="TtuloCar"/>
    <w:uiPriority w:val="10"/>
    <w:qFormat/>
    <w:rsid w:val="005B3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34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34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34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347F"/>
    <w:pPr>
      <w:spacing w:before="160"/>
      <w:jc w:val="center"/>
    </w:pPr>
    <w:rPr>
      <w:i/>
      <w:iCs/>
      <w:color w:val="404040" w:themeColor="text1" w:themeTint="BF"/>
    </w:rPr>
  </w:style>
  <w:style w:type="character" w:customStyle="1" w:styleId="CitaCar">
    <w:name w:val="Cita Car"/>
    <w:basedOn w:val="Fuentedeprrafopredeter"/>
    <w:link w:val="Cita"/>
    <w:uiPriority w:val="29"/>
    <w:rsid w:val="005B347F"/>
    <w:rPr>
      <w:i/>
      <w:iCs/>
      <w:color w:val="404040" w:themeColor="text1" w:themeTint="BF"/>
    </w:rPr>
  </w:style>
  <w:style w:type="paragraph" w:styleId="Prrafodelista">
    <w:name w:val="List Paragraph"/>
    <w:basedOn w:val="Normal"/>
    <w:uiPriority w:val="34"/>
    <w:qFormat/>
    <w:rsid w:val="005B347F"/>
    <w:pPr>
      <w:ind w:left="720"/>
      <w:contextualSpacing/>
    </w:pPr>
  </w:style>
  <w:style w:type="character" w:styleId="nfasisintenso">
    <w:name w:val="Intense Emphasis"/>
    <w:basedOn w:val="Fuentedeprrafopredeter"/>
    <w:uiPriority w:val="21"/>
    <w:qFormat/>
    <w:rsid w:val="005B347F"/>
    <w:rPr>
      <w:i/>
      <w:iCs/>
      <w:color w:val="2F5496" w:themeColor="accent1" w:themeShade="BF"/>
    </w:rPr>
  </w:style>
  <w:style w:type="paragraph" w:styleId="Citadestacada">
    <w:name w:val="Intense Quote"/>
    <w:basedOn w:val="Normal"/>
    <w:next w:val="Normal"/>
    <w:link w:val="CitadestacadaCar"/>
    <w:uiPriority w:val="30"/>
    <w:qFormat/>
    <w:rsid w:val="005B34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347F"/>
    <w:rPr>
      <w:i/>
      <w:iCs/>
      <w:color w:val="2F5496" w:themeColor="accent1" w:themeShade="BF"/>
    </w:rPr>
  </w:style>
  <w:style w:type="character" w:styleId="Referenciaintensa">
    <w:name w:val="Intense Reference"/>
    <w:basedOn w:val="Fuentedeprrafopredeter"/>
    <w:uiPriority w:val="32"/>
    <w:qFormat/>
    <w:rsid w:val="005B34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666</Words>
  <Characters>3669</Characters>
  <Application>Microsoft Office Word</Application>
  <DocSecurity>0</DocSecurity>
  <Lines>30</Lines>
  <Paragraphs>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2026-10-08T14:04:00Z</dcterms:created>
  <dcterms:modified xsi:type="dcterms:W3CDTF">2026-10-08T14:04:00Z</dcterms:modified>
</cp:coreProperties>
</file>