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5E5" w:rsidRPr="001626E4" w:rsidRDefault="00DA35E5" w:rsidP="001626E4">
      <w:pPr>
        <w:spacing w:after="200" w:line="276" w:lineRule="auto"/>
        <w:jc w:val="center"/>
        <w:rPr>
          <w:rFonts w:ascii="Times New Roman" w:eastAsia="Calibri" w:hAnsi="Times New Roman" w:cs="Times New Roman"/>
          <w:b/>
          <w:sz w:val="28"/>
          <w:szCs w:val="24"/>
        </w:rPr>
      </w:pPr>
      <w:r w:rsidRPr="001626E4">
        <w:rPr>
          <w:rFonts w:ascii="Times New Roman" w:eastAsia="Calibri" w:hAnsi="Times New Roman" w:cs="Times New Roman"/>
          <w:b/>
          <w:sz w:val="28"/>
          <w:szCs w:val="24"/>
        </w:rPr>
        <w:t>Article Summary</w:t>
      </w:r>
    </w:p>
    <w:p w:rsidR="00E063F7" w:rsidRPr="001626E4" w:rsidRDefault="00DA35E5" w:rsidP="00E063F7">
      <w:pPr>
        <w:spacing w:after="200" w:line="276" w:lineRule="auto"/>
        <w:jc w:val="both"/>
        <w:rPr>
          <w:rFonts w:ascii="Times New Roman" w:eastAsia="Calibri" w:hAnsi="Times New Roman" w:cs="Times New Roman"/>
          <w:bCs/>
          <w:sz w:val="24"/>
          <w:szCs w:val="24"/>
        </w:rPr>
      </w:pPr>
      <w:r w:rsidRPr="001626E4">
        <w:rPr>
          <w:rFonts w:ascii="Times New Roman" w:eastAsia="Calibri" w:hAnsi="Times New Roman" w:cs="Times New Roman"/>
          <w:b/>
          <w:sz w:val="24"/>
          <w:szCs w:val="24"/>
        </w:rPr>
        <w:t xml:space="preserve">Article Title: </w:t>
      </w:r>
      <w:r w:rsidR="00E063F7" w:rsidRPr="001626E4">
        <w:rPr>
          <w:rFonts w:ascii="Times New Roman" w:eastAsia="Calibri" w:hAnsi="Times New Roman" w:cs="Times New Roman"/>
          <w:bCs/>
          <w:sz w:val="24"/>
          <w:szCs w:val="24"/>
        </w:rPr>
        <w:t>Identification of Potential Groundwater Recharge Zones Using GIS Based Multi-Criteria and AHP Technique: A Case Study of Pune City, Western Maharashtra</w:t>
      </w:r>
    </w:p>
    <w:p w:rsidR="00DA35E5" w:rsidRPr="001626E4" w:rsidRDefault="00DA35E5" w:rsidP="00E063F7">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b/>
          <w:sz w:val="24"/>
          <w:szCs w:val="24"/>
        </w:rPr>
        <w:t>Journal Source: [</w:t>
      </w:r>
      <w:r w:rsidR="00E063F7" w:rsidRPr="001626E4">
        <w:rPr>
          <w:rFonts w:ascii="Times New Roman" w:eastAsia="Calibri" w:hAnsi="Times New Roman" w:cs="Times New Roman"/>
          <w:sz w:val="24"/>
          <w:szCs w:val="24"/>
        </w:rPr>
        <w:t>Environment and natural resource journal, May-June</w:t>
      </w:r>
      <w:r w:rsidRPr="001626E4">
        <w:rPr>
          <w:rFonts w:ascii="Times New Roman" w:eastAsia="Calibri" w:hAnsi="Times New Roman" w:cs="Times New Roman"/>
          <w:sz w:val="24"/>
          <w:szCs w:val="24"/>
        </w:rPr>
        <w:t xml:space="preserve"> 2023</w:t>
      </w:r>
      <w:r w:rsidR="00E063F7" w:rsidRPr="001626E4">
        <w:rPr>
          <w:rFonts w:ascii="Times New Roman" w:eastAsia="Calibri" w:hAnsi="Times New Roman" w:cs="Times New Roman"/>
          <w:sz w:val="24"/>
          <w:szCs w:val="24"/>
        </w:rPr>
        <w:t>, volume-3</w:t>
      </w:r>
      <w:r w:rsidRPr="001626E4">
        <w:rPr>
          <w:rFonts w:ascii="Times New Roman" w:eastAsia="Calibri" w:hAnsi="Times New Roman" w:cs="Times New Roman"/>
          <w:sz w:val="24"/>
          <w:szCs w:val="24"/>
        </w:rPr>
        <w:t>]</w:t>
      </w:r>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b/>
          <w:sz w:val="24"/>
          <w:szCs w:val="24"/>
        </w:rPr>
        <w:t xml:space="preserve">FDP Theme: </w:t>
      </w:r>
      <w:r w:rsidRPr="001626E4">
        <w:rPr>
          <w:rFonts w:ascii="Times New Roman" w:eastAsia="Calibri" w:hAnsi="Times New Roman" w:cs="Times New Roman"/>
          <w:sz w:val="24"/>
          <w:szCs w:val="24"/>
        </w:rPr>
        <w:t>FDP on Research opportunities in sustainable development using GIS technologies Team Information</w:t>
      </w:r>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b/>
          <w:sz w:val="24"/>
          <w:szCs w:val="24"/>
        </w:rPr>
        <w:t>Team Name</w:t>
      </w:r>
      <w:r w:rsidRPr="001626E4">
        <w:rPr>
          <w:rFonts w:ascii="Times New Roman" w:eastAsia="Calibri" w:hAnsi="Times New Roman" w:cs="Times New Roman"/>
          <w:sz w:val="24"/>
          <w:szCs w:val="24"/>
        </w:rPr>
        <w:t xml:space="preserve">: </w:t>
      </w:r>
      <w:proofErr w:type="spellStart"/>
      <w:r w:rsidRPr="001626E4">
        <w:rPr>
          <w:rFonts w:ascii="Times New Roman" w:eastAsia="Calibri" w:hAnsi="Times New Roman" w:cs="Times New Roman"/>
          <w:sz w:val="24"/>
          <w:szCs w:val="24"/>
        </w:rPr>
        <w:t>Giovisionaries</w:t>
      </w:r>
      <w:proofErr w:type="spellEnd"/>
    </w:p>
    <w:p w:rsidR="00DA35E5" w:rsidRPr="001626E4" w:rsidRDefault="00DA35E5" w:rsidP="00DA35E5">
      <w:pPr>
        <w:spacing w:after="200" w:line="276" w:lineRule="auto"/>
        <w:jc w:val="both"/>
        <w:rPr>
          <w:rFonts w:ascii="Times New Roman" w:eastAsia="Calibri" w:hAnsi="Times New Roman" w:cs="Times New Roman"/>
          <w:b/>
          <w:sz w:val="24"/>
          <w:szCs w:val="24"/>
        </w:rPr>
      </w:pPr>
      <w:r w:rsidRPr="001626E4">
        <w:rPr>
          <w:rFonts w:ascii="Times New Roman" w:eastAsia="Calibri" w:hAnsi="Times New Roman" w:cs="Times New Roman"/>
          <w:b/>
          <w:sz w:val="24"/>
          <w:szCs w:val="24"/>
        </w:rPr>
        <w:t xml:space="preserve">Team Members: </w:t>
      </w:r>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sz w:val="24"/>
          <w:szCs w:val="24"/>
        </w:rPr>
        <w:t>1</w:t>
      </w:r>
      <w:r w:rsidRPr="001626E4">
        <w:rPr>
          <w:rFonts w:ascii="Times New Roman" w:eastAsia="Calibri" w:hAnsi="Times New Roman" w:cs="Times New Roman"/>
          <w:sz w:val="24"/>
          <w:szCs w:val="24"/>
        </w:rPr>
        <w:tab/>
        <w:t xml:space="preserve">Miss </w:t>
      </w:r>
      <w:proofErr w:type="spellStart"/>
      <w:r w:rsidRPr="001626E4">
        <w:rPr>
          <w:rFonts w:ascii="Times New Roman" w:eastAsia="Calibri" w:hAnsi="Times New Roman" w:cs="Times New Roman"/>
          <w:sz w:val="24"/>
          <w:szCs w:val="24"/>
        </w:rPr>
        <w:t>KanchanShashikantWarke</w:t>
      </w:r>
      <w:proofErr w:type="spellEnd"/>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sz w:val="24"/>
          <w:szCs w:val="24"/>
        </w:rPr>
        <w:t>2</w:t>
      </w:r>
      <w:r w:rsidRPr="001626E4">
        <w:rPr>
          <w:rFonts w:ascii="Times New Roman" w:eastAsia="Calibri" w:hAnsi="Times New Roman" w:cs="Times New Roman"/>
          <w:sz w:val="24"/>
          <w:szCs w:val="24"/>
        </w:rPr>
        <w:tab/>
        <w:t xml:space="preserve">Miss </w:t>
      </w:r>
      <w:proofErr w:type="spellStart"/>
      <w:r w:rsidRPr="001626E4">
        <w:rPr>
          <w:rFonts w:ascii="Times New Roman" w:eastAsia="Calibri" w:hAnsi="Times New Roman" w:cs="Times New Roman"/>
          <w:sz w:val="24"/>
          <w:szCs w:val="24"/>
        </w:rPr>
        <w:t>Ashwini</w:t>
      </w:r>
      <w:proofErr w:type="spellEnd"/>
      <w:r w:rsidRPr="001626E4">
        <w:rPr>
          <w:rFonts w:ascii="Times New Roman" w:eastAsia="Calibri" w:hAnsi="Times New Roman" w:cs="Times New Roman"/>
          <w:sz w:val="24"/>
          <w:szCs w:val="24"/>
        </w:rPr>
        <w:t xml:space="preserve"> Deepak </w:t>
      </w:r>
      <w:proofErr w:type="spellStart"/>
      <w:r w:rsidRPr="001626E4">
        <w:rPr>
          <w:rFonts w:ascii="Times New Roman" w:eastAsia="Calibri" w:hAnsi="Times New Roman" w:cs="Times New Roman"/>
          <w:sz w:val="24"/>
          <w:szCs w:val="24"/>
        </w:rPr>
        <w:t>Khairkar</w:t>
      </w:r>
      <w:bookmarkStart w:id="0" w:name="_GoBack"/>
      <w:bookmarkEnd w:id="0"/>
      <w:proofErr w:type="spellEnd"/>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sz w:val="24"/>
          <w:szCs w:val="24"/>
        </w:rPr>
        <w:t>3</w:t>
      </w:r>
      <w:r w:rsidRPr="001626E4">
        <w:rPr>
          <w:rFonts w:ascii="Times New Roman" w:eastAsia="Calibri" w:hAnsi="Times New Roman" w:cs="Times New Roman"/>
          <w:sz w:val="24"/>
          <w:szCs w:val="24"/>
        </w:rPr>
        <w:tab/>
        <w:t xml:space="preserve">Mrs. </w:t>
      </w:r>
      <w:proofErr w:type="spellStart"/>
      <w:r w:rsidRPr="001626E4">
        <w:rPr>
          <w:rFonts w:ascii="Times New Roman" w:eastAsia="Calibri" w:hAnsi="Times New Roman" w:cs="Times New Roman"/>
          <w:sz w:val="24"/>
          <w:szCs w:val="24"/>
        </w:rPr>
        <w:t>PallaviBhushanNarkhede</w:t>
      </w:r>
      <w:proofErr w:type="spellEnd"/>
    </w:p>
    <w:p w:rsidR="00DA35E5" w:rsidRPr="001626E4" w:rsidRDefault="00DA35E5" w:rsidP="00DA35E5">
      <w:pPr>
        <w:spacing w:after="200" w:line="276" w:lineRule="auto"/>
        <w:jc w:val="both"/>
        <w:rPr>
          <w:rFonts w:ascii="Times New Roman" w:eastAsia="Calibri" w:hAnsi="Times New Roman" w:cs="Times New Roman"/>
          <w:sz w:val="24"/>
          <w:szCs w:val="24"/>
        </w:rPr>
      </w:pPr>
      <w:r w:rsidRPr="001626E4">
        <w:rPr>
          <w:rFonts w:ascii="Times New Roman" w:eastAsia="Calibri" w:hAnsi="Times New Roman" w:cs="Times New Roman"/>
          <w:sz w:val="24"/>
          <w:szCs w:val="24"/>
        </w:rPr>
        <w:t>4</w:t>
      </w:r>
      <w:r w:rsidRPr="001626E4">
        <w:rPr>
          <w:rFonts w:ascii="Times New Roman" w:eastAsia="Calibri" w:hAnsi="Times New Roman" w:cs="Times New Roman"/>
          <w:sz w:val="24"/>
          <w:szCs w:val="24"/>
        </w:rPr>
        <w:tab/>
        <w:t xml:space="preserve">Mrs. </w:t>
      </w:r>
      <w:proofErr w:type="spellStart"/>
      <w:r w:rsidRPr="001626E4">
        <w:rPr>
          <w:rFonts w:ascii="Times New Roman" w:eastAsia="Calibri" w:hAnsi="Times New Roman" w:cs="Times New Roman"/>
          <w:sz w:val="24"/>
          <w:szCs w:val="24"/>
        </w:rPr>
        <w:t>Kavita</w:t>
      </w:r>
      <w:proofErr w:type="spellEnd"/>
      <w:r w:rsidRPr="001626E4">
        <w:rPr>
          <w:rFonts w:ascii="Times New Roman" w:eastAsia="Calibri" w:hAnsi="Times New Roman" w:cs="Times New Roman"/>
          <w:sz w:val="24"/>
          <w:szCs w:val="24"/>
        </w:rPr>
        <w:t xml:space="preserve"> </w:t>
      </w:r>
      <w:proofErr w:type="spellStart"/>
      <w:r w:rsidRPr="001626E4">
        <w:rPr>
          <w:rFonts w:ascii="Times New Roman" w:eastAsia="Calibri" w:hAnsi="Times New Roman" w:cs="Times New Roman"/>
          <w:sz w:val="24"/>
          <w:szCs w:val="24"/>
        </w:rPr>
        <w:t>Shantanu</w:t>
      </w:r>
      <w:proofErr w:type="spellEnd"/>
      <w:r w:rsidRPr="001626E4">
        <w:rPr>
          <w:rFonts w:ascii="Times New Roman" w:eastAsia="Calibri" w:hAnsi="Times New Roman" w:cs="Times New Roman"/>
          <w:sz w:val="24"/>
          <w:szCs w:val="24"/>
        </w:rPr>
        <w:t xml:space="preserve"> </w:t>
      </w:r>
      <w:proofErr w:type="spellStart"/>
      <w:r w:rsidRPr="001626E4">
        <w:rPr>
          <w:rFonts w:ascii="Times New Roman" w:eastAsia="Calibri" w:hAnsi="Times New Roman" w:cs="Times New Roman"/>
          <w:sz w:val="24"/>
          <w:szCs w:val="24"/>
        </w:rPr>
        <w:t>SawantSummary</w:t>
      </w:r>
      <w:proofErr w:type="spellEnd"/>
    </w:p>
    <w:p w:rsidR="00DA35E5" w:rsidRPr="001626E4" w:rsidRDefault="00DA35E5" w:rsidP="00DA35E5">
      <w:pPr>
        <w:spacing w:after="200" w:line="276" w:lineRule="auto"/>
        <w:jc w:val="both"/>
        <w:rPr>
          <w:rFonts w:ascii="Times New Roman" w:eastAsia="Calibri" w:hAnsi="Times New Roman" w:cs="Times New Roman"/>
          <w:b/>
          <w:sz w:val="24"/>
          <w:szCs w:val="24"/>
        </w:rPr>
      </w:pPr>
      <w:r w:rsidRPr="001626E4">
        <w:rPr>
          <w:rFonts w:ascii="Times New Roman" w:eastAsia="Calibri" w:hAnsi="Times New Roman" w:cs="Times New Roman"/>
          <w:b/>
          <w:sz w:val="24"/>
          <w:szCs w:val="24"/>
        </w:rPr>
        <w:t xml:space="preserve">Key Principles/Practices from the Article </w:t>
      </w:r>
      <w:proofErr w:type="gramStart"/>
      <w:r w:rsidRPr="001626E4">
        <w:rPr>
          <w:rFonts w:ascii="Times New Roman" w:eastAsia="Calibri" w:hAnsi="Times New Roman" w:cs="Times New Roman"/>
          <w:b/>
          <w:sz w:val="24"/>
          <w:szCs w:val="24"/>
        </w:rPr>
        <w:t>By</w:t>
      </w:r>
      <w:proofErr w:type="gramEnd"/>
      <w:r w:rsidR="001626E4" w:rsidRPr="001626E4">
        <w:rPr>
          <w:rFonts w:ascii="Times New Roman" w:eastAsia="Calibri" w:hAnsi="Times New Roman" w:cs="Times New Roman"/>
          <w:b/>
          <w:sz w:val="24"/>
          <w:szCs w:val="24"/>
        </w:rPr>
        <w:t xml:space="preserve"> </w:t>
      </w:r>
      <w:r w:rsidRPr="001626E4">
        <w:rPr>
          <w:rFonts w:ascii="Times New Roman" w:eastAsia="Calibri" w:hAnsi="Times New Roman" w:cs="Times New Roman"/>
          <w:b/>
          <w:sz w:val="24"/>
          <w:szCs w:val="24"/>
        </w:rPr>
        <w:t>Mrs. Pallavi</w:t>
      </w:r>
      <w:r w:rsidR="00244B97" w:rsidRPr="001626E4">
        <w:rPr>
          <w:rFonts w:ascii="Times New Roman" w:eastAsia="Calibri" w:hAnsi="Times New Roman" w:cs="Times New Roman"/>
          <w:b/>
          <w:sz w:val="24"/>
          <w:szCs w:val="24"/>
        </w:rPr>
        <w:t xml:space="preserve"> </w:t>
      </w:r>
      <w:r w:rsidRPr="001626E4">
        <w:rPr>
          <w:rFonts w:ascii="Times New Roman" w:eastAsia="Calibri" w:hAnsi="Times New Roman" w:cs="Times New Roman"/>
          <w:b/>
          <w:sz w:val="24"/>
          <w:szCs w:val="24"/>
        </w:rPr>
        <w:t>Bhushan</w:t>
      </w:r>
      <w:r w:rsidR="00244B97" w:rsidRPr="001626E4">
        <w:rPr>
          <w:rFonts w:ascii="Times New Roman" w:eastAsia="Calibri" w:hAnsi="Times New Roman" w:cs="Times New Roman"/>
          <w:b/>
          <w:sz w:val="24"/>
          <w:szCs w:val="24"/>
        </w:rPr>
        <w:t xml:space="preserve"> </w:t>
      </w:r>
      <w:r w:rsidRPr="001626E4">
        <w:rPr>
          <w:rFonts w:ascii="Times New Roman" w:eastAsia="Calibri" w:hAnsi="Times New Roman" w:cs="Times New Roman"/>
          <w:b/>
          <w:sz w:val="24"/>
          <w:szCs w:val="24"/>
        </w:rPr>
        <w:t>Narkhede</w:t>
      </w:r>
    </w:p>
    <w:p w:rsidR="00DA35E5" w:rsidRPr="001626E4" w:rsidRDefault="00DA35E5" w:rsidP="00DA35E5">
      <w:pPr>
        <w:pStyle w:val="NormalWeb"/>
      </w:pPr>
      <w:r w:rsidRPr="001626E4">
        <w:rPr>
          <w:rFonts w:hAnsi="Symbol"/>
        </w:rPr>
        <w:t></w:t>
      </w:r>
      <w:r w:rsidRPr="001626E4">
        <w:rPr>
          <w:b/>
          <w:bCs/>
        </w:rPr>
        <w:t>Importance of Groundwater Recharge</w:t>
      </w:r>
      <w:r w:rsidRPr="001626E4">
        <w:t>:</w:t>
      </w:r>
    </w:p>
    <w:p w:rsidR="00DA35E5" w:rsidRPr="001626E4" w:rsidRDefault="00DA35E5" w:rsidP="00DA35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sz w:val="24"/>
          <w:szCs w:val="24"/>
        </w:rPr>
        <w:t>The article emphasizes the critical role of groundwater recharge in maintaining sustainable water resources, especially in regions facing water scarcity like Pune. Effective groundwater management relies on identifying areas where recharge can occur efficiently.</w:t>
      </w:r>
    </w:p>
    <w:p w:rsidR="00DA35E5" w:rsidRPr="001626E4" w:rsidRDefault="00DA35E5" w:rsidP="00DA35E5">
      <w:p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Symbol" w:cs="Times New Roman"/>
          <w:sz w:val="24"/>
          <w:szCs w:val="24"/>
        </w:rPr>
        <w:t></w:t>
      </w:r>
      <w:r w:rsidRPr="001626E4">
        <w:rPr>
          <w:rFonts w:ascii="Times New Roman" w:eastAsia="Times New Roman" w:hAnsi="Times New Roman" w:cs="Times New Roman"/>
          <w:b/>
          <w:bCs/>
          <w:sz w:val="24"/>
          <w:szCs w:val="24"/>
        </w:rPr>
        <w:t>Multi-Criteria Decision Analysis (MCDA)</w:t>
      </w:r>
      <w:r w:rsidRPr="001626E4">
        <w:rPr>
          <w:rFonts w:ascii="Times New Roman" w:eastAsia="Times New Roman" w:hAnsi="Times New Roman" w:cs="Times New Roman"/>
          <w:sz w:val="24"/>
          <w:szCs w:val="24"/>
        </w:rPr>
        <w:t>:</w:t>
      </w:r>
    </w:p>
    <w:p w:rsidR="00DA35E5" w:rsidRPr="001626E4" w:rsidRDefault="00DA35E5" w:rsidP="00DA35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sz w:val="24"/>
          <w:szCs w:val="24"/>
        </w:rPr>
        <w:t>The study employs the MCDA framework to integrate multiple factors influencing groundwater recharge, such as land use, slope, geology, soil type, and rainfall. This approach allows for a holistic evaluation of potential recharge zones based on various environmental and geographic factors.</w:t>
      </w:r>
    </w:p>
    <w:p w:rsidR="00DA35E5" w:rsidRPr="001626E4" w:rsidRDefault="00DA35E5" w:rsidP="00DA35E5">
      <w:p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Symbol" w:cs="Times New Roman"/>
          <w:sz w:val="24"/>
          <w:szCs w:val="24"/>
        </w:rPr>
        <w:t></w:t>
      </w:r>
      <w:r w:rsidRPr="001626E4">
        <w:rPr>
          <w:rFonts w:ascii="Times New Roman" w:eastAsia="Times New Roman" w:hAnsi="Times New Roman" w:cs="Times New Roman"/>
          <w:b/>
          <w:bCs/>
          <w:sz w:val="24"/>
          <w:szCs w:val="24"/>
        </w:rPr>
        <w:t>Use of GIS for Spatial Analysis</w:t>
      </w:r>
      <w:r w:rsidRPr="001626E4">
        <w:rPr>
          <w:rFonts w:ascii="Times New Roman" w:eastAsia="Times New Roman" w:hAnsi="Times New Roman" w:cs="Times New Roman"/>
          <w:sz w:val="24"/>
          <w:szCs w:val="24"/>
        </w:rPr>
        <w:t>:</w:t>
      </w:r>
    </w:p>
    <w:p w:rsidR="00DA35E5" w:rsidRPr="001626E4" w:rsidRDefault="00DA35E5" w:rsidP="00DA35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sz w:val="24"/>
          <w:szCs w:val="24"/>
        </w:rPr>
        <w:t>GIS technology is used to collect, store, and analyze spatial data for mapping and identifying groundwater recharge potential. By layering different datasets (e.g., topography, land cover, soil type, and hydrological features), GIS allows for a detailed spatial representation of potential recharge zones.</w:t>
      </w:r>
    </w:p>
    <w:p w:rsidR="00DA35E5" w:rsidRPr="001626E4" w:rsidRDefault="00DA35E5" w:rsidP="00DA35E5">
      <w:pPr>
        <w:spacing w:before="100" w:beforeAutospacing="1" w:after="100" w:afterAutospacing="1" w:line="240" w:lineRule="auto"/>
        <w:rPr>
          <w:rFonts w:ascii="Times New Roman" w:eastAsia="Times New Roman" w:hAnsi="Times New Roman" w:cs="Times New Roman"/>
          <w:sz w:val="24"/>
          <w:szCs w:val="24"/>
        </w:rPr>
      </w:pPr>
    </w:p>
    <w:p w:rsidR="00DA35E5" w:rsidRPr="001626E4" w:rsidRDefault="00DA35E5" w:rsidP="00DA35E5">
      <w:p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Symbol" w:cs="Times New Roman"/>
          <w:sz w:val="24"/>
          <w:szCs w:val="24"/>
        </w:rPr>
        <w:lastRenderedPageBreak/>
        <w:t></w:t>
      </w:r>
      <w:r w:rsidRPr="001626E4">
        <w:rPr>
          <w:rFonts w:ascii="Times New Roman" w:eastAsia="Times New Roman" w:hAnsi="Times New Roman" w:cs="Times New Roman"/>
          <w:b/>
          <w:bCs/>
          <w:sz w:val="24"/>
          <w:szCs w:val="24"/>
        </w:rPr>
        <w:t>Analytical Hierarchy Process (AHP)</w:t>
      </w:r>
      <w:r w:rsidRPr="001626E4">
        <w:rPr>
          <w:rFonts w:ascii="Times New Roman" w:eastAsia="Times New Roman" w:hAnsi="Times New Roman" w:cs="Times New Roman"/>
          <w:sz w:val="24"/>
          <w:szCs w:val="24"/>
        </w:rPr>
        <w:t>:</w:t>
      </w:r>
    </w:p>
    <w:p w:rsidR="00DA35E5" w:rsidRPr="001626E4" w:rsidRDefault="00DA35E5" w:rsidP="00DA35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sz w:val="24"/>
          <w:szCs w:val="24"/>
        </w:rPr>
        <w:t>The AHP technique is applied to weigh and rank the various criteria involved in groundwater recharge. It helps prioritize factors based on their importance and influence, providing a systematic, quantitative way to assess recharge potential.</w:t>
      </w:r>
    </w:p>
    <w:p w:rsidR="00DA35E5" w:rsidRPr="001626E4" w:rsidRDefault="00DA35E5" w:rsidP="00DA35E5">
      <w:pPr>
        <w:spacing w:after="200" w:line="276" w:lineRule="auto"/>
        <w:jc w:val="both"/>
        <w:rPr>
          <w:rFonts w:ascii="Times New Roman" w:eastAsia="Calibri" w:hAnsi="Times New Roman" w:cs="Times New Roman"/>
          <w:b/>
          <w:sz w:val="24"/>
          <w:szCs w:val="24"/>
        </w:rPr>
      </w:pPr>
      <w:r w:rsidRPr="001626E4">
        <w:rPr>
          <w:rFonts w:ascii="Times New Roman" w:eastAsia="Calibri" w:hAnsi="Times New Roman" w:cs="Times New Roman"/>
          <w:b/>
          <w:sz w:val="24"/>
          <w:szCs w:val="24"/>
        </w:rPr>
        <w:t>Application of Principles/Practices in your Function (Individual)</w:t>
      </w:r>
    </w:p>
    <w:p w:rsidR="00DA35E5" w:rsidRPr="001626E4" w:rsidRDefault="00DA35E5" w:rsidP="00DA35E5">
      <w:pPr>
        <w:pStyle w:val="Heading3"/>
        <w:rPr>
          <w:sz w:val="24"/>
          <w:szCs w:val="24"/>
        </w:rPr>
      </w:pPr>
      <w:r w:rsidRPr="001626E4">
        <w:rPr>
          <w:rStyle w:val="Strong"/>
          <w:b/>
          <w:bCs/>
          <w:sz w:val="24"/>
          <w:szCs w:val="24"/>
        </w:rPr>
        <w:t>Urban Water Management and Groundwater Recharge Planning</w:t>
      </w:r>
    </w:p>
    <w:p w:rsidR="00DA35E5" w:rsidRPr="001626E4" w:rsidRDefault="00DA35E5" w:rsidP="00DA35E5">
      <w:pPr>
        <w:numPr>
          <w:ilvl w:val="0"/>
          <w:numId w:val="13"/>
        </w:numPr>
        <w:spacing w:before="100" w:beforeAutospacing="1" w:after="100" w:afterAutospacing="1" w:line="240" w:lineRule="auto"/>
        <w:rPr>
          <w:sz w:val="24"/>
          <w:szCs w:val="24"/>
        </w:rPr>
      </w:pPr>
      <w:r w:rsidRPr="001626E4">
        <w:rPr>
          <w:rStyle w:val="Strong"/>
          <w:sz w:val="24"/>
          <w:szCs w:val="24"/>
        </w:rPr>
        <w:t>Application</w:t>
      </w:r>
      <w:r w:rsidRPr="001626E4">
        <w:rPr>
          <w:sz w:val="24"/>
          <w:szCs w:val="24"/>
        </w:rPr>
        <w:t xml:space="preserve">: </w:t>
      </w:r>
      <w:r w:rsidRPr="001626E4">
        <w:rPr>
          <w:rStyle w:val="Strong"/>
          <w:sz w:val="24"/>
          <w:szCs w:val="24"/>
        </w:rPr>
        <w:t>In Urban Areas</w:t>
      </w:r>
      <w:r w:rsidRPr="001626E4">
        <w:rPr>
          <w:sz w:val="24"/>
          <w:szCs w:val="24"/>
        </w:rPr>
        <w:t xml:space="preserve"> like Pune, where groundwater resources are under pressure due to rapid urbanization, applying the GIS-based Multi-Criteria and AHP technique can help urban planners identify areas with the highest potential for groundwater recharge.</w:t>
      </w:r>
    </w:p>
    <w:p w:rsidR="00DA35E5" w:rsidRPr="001626E4" w:rsidRDefault="00DA35E5" w:rsidP="00DA35E5">
      <w:pPr>
        <w:numPr>
          <w:ilvl w:val="0"/>
          <w:numId w:val="13"/>
        </w:numPr>
        <w:spacing w:before="100" w:beforeAutospacing="1" w:after="100" w:afterAutospacing="1" w:line="240" w:lineRule="auto"/>
        <w:rPr>
          <w:sz w:val="24"/>
          <w:szCs w:val="24"/>
        </w:rPr>
      </w:pPr>
      <w:r w:rsidRPr="001626E4">
        <w:rPr>
          <w:rStyle w:val="Strong"/>
          <w:sz w:val="24"/>
          <w:szCs w:val="24"/>
        </w:rPr>
        <w:t>Practice</w:t>
      </w:r>
      <w:r w:rsidRPr="001626E4">
        <w:rPr>
          <w:sz w:val="24"/>
          <w:szCs w:val="24"/>
        </w:rPr>
        <w:t xml:space="preserve">: Using spatial data to map </w:t>
      </w:r>
      <w:r w:rsidRPr="001626E4">
        <w:rPr>
          <w:rStyle w:val="Strong"/>
          <w:sz w:val="24"/>
          <w:szCs w:val="24"/>
        </w:rPr>
        <w:t>suitable recharge zones</w:t>
      </w:r>
      <w:r w:rsidRPr="001626E4">
        <w:rPr>
          <w:sz w:val="24"/>
          <w:szCs w:val="24"/>
        </w:rPr>
        <w:t xml:space="preserve"> can assist in targeting specific urban areas for the construction of </w:t>
      </w:r>
      <w:r w:rsidRPr="001626E4">
        <w:rPr>
          <w:rStyle w:val="Strong"/>
          <w:sz w:val="24"/>
          <w:szCs w:val="24"/>
        </w:rPr>
        <w:t>rainwater harvesting systems</w:t>
      </w:r>
      <w:r w:rsidRPr="001626E4">
        <w:rPr>
          <w:sz w:val="24"/>
          <w:szCs w:val="24"/>
        </w:rPr>
        <w:t xml:space="preserve">, </w:t>
      </w:r>
      <w:r w:rsidRPr="001626E4">
        <w:rPr>
          <w:rStyle w:val="Strong"/>
          <w:sz w:val="24"/>
          <w:szCs w:val="24"/>
        </w:rPr>
        <w:t>infiltration ponds</w:t>
      </w:r>
      <w:r w:rsidRPr="001626E4">
        <w:rPr>
          <w:sz w:val="24"/>
          <w:szCs w:val="24"/>
        </w:rPr>
        <w:t xml:space="preserve">, or </w:t>
      </w:r>
      <w:r w:rsidRPr="001626E4">
        <w:rPr>
          <w:rStyle w:val="Strong"/>
          <w:sz w:val="24"/>
          <w:szCs w:val="24"/>
        </w:rPr>
        <w:t>permeable pavements</w:t>
      </w:r>
      <w:r w:rsidRPr="001626E4">
        <w:rPr>
          <w:sz w:val="24"/>
          <w:szCs w:val="24"/>
        </w:rPr>
        <w:t xml:space="preserve">. This could also guide </w:t>
      </w:r>
      <w:r w:rsidRPr="001626E4">
        <w:rPr>
          <w:rStyle w:val="Strong"/>
          <w:sz w:val="24"/>
          <w:szCs w:val="24"/>
        </w:rPr>
        <w:t>policies</w:t>
      </w:r>
      <w:r w:rsidRPr="001626E4">
        <w:rPr>
          <w:sz w:val="24"/>
          <w:szCs w:val="24"/>
        </w:rPr>
        <w:t xml:space="preserve"> encouraging the use of </w:t>
      </w:r>
      <w:r w:rsidRPr="001626E4">
        <w:rPr>
          <w:rStyle w:val="Strong"/>
          <w:sz w:val="24"/>
          <w:szCs w:val="24"/>
        </w:rPr>
        <w:t>green infrastructure</w:t>
      </w:r>
      <w:r w:rsidRPr="001626E4">
        <w:rPr>
          <w:sz w:val="24"/>
          <w:szCs w:val="24"/>
        </w:rPr>
        <w:t xml:space="preserve"> like green roofs and urban gardens to facilitate groundwater recharge in densely populated areas.</w:t>
      </w:r>
    </w:p>
    <w:p w:rsidR="00DA35E5" w:rsidRPr="001626E4" w:rsidRDefault="00DA35E5" w:rsidP="00DA35E5">
      <w:pPr>
        <w:numPr>
          <w:ilvl w:val="0"/>
          <w:numId w:val="13"/>
        </w:numPr>
        <w:spacing w:before="100" w:beforeAutospacing="1" w:after="100" w:afterAutospacing="1" w:line="240" w:lineRule="auto"/>
        <w:rPr>
          <w:sz w:val="24"/>
          <w:szCs w:val="24"/>
        </w:rPr>
      </w:pPr>
      <w:r w:rsidRPr="001626E4">
        <w:rPr>
          <w:rStyle w:val="Strong"/>
          <w:sz w:val="24"/>
          <w:szCs w:val="24"/>
        </w:rPr>
        <w:t>Outcome</w:t>
      </w:r>
      <w:r w:rsidRPr="001626E4">
        <w:rPr>
          <w:sz w:val="24"/>
          <w:szCs w:val="24"/>
        </w:rPr>
        <w:t xml:space="preserve">: Effective </w:t>
      </w:r>
      <w:proofErr w:type="gramStart"/>
      <w:r w:rsidRPr="001626E4">
        <w:rPr>
          <w:sz w:val="24"/>
          <w:szCs w:val="24"/>
        </w:rPr>
        <w:t>groundwater recharge</w:t>
      </w:r>
      <w:proofErr w:type="gramEnd"/>
      <w:r w:rsidRPr="001626E4">
        <w:rPr>
          <w:sz w:val="24"/>
          <w:szCs w:val="24"/>
        </w:rPr>
        <w:t xml:space="preserve"> management that supports the city’s water supply system, reducing dependency on over-exploited aquifers.</w:t>
      </w:r>
    </w:p>
    <w:p w:rsidR="00DA35E5" w:rsidRPr="001626E4" w:rsidRDefault="00DA35E5" w:rsidP="00DA35E5">
      <w:pPr>
        <w:pStyle w:val="Heading3"/>
        <w:rPr>
          <w:sz w:val="24"/>
          <w:szCs w:val="24"/>
        </w:rPr>
      </w:pPr>
      <w:r w:rsidRPr="001626E4">
        <w:rPr>
          <w:sz w:val="24"/>
          <w:szCs w:val="24"/>
        </w:rPr>
        <w:t xml:space="preserve">2. </w:t>
      </w:r>
      <w:r w:rsidRPr="001626E4">
        <w:rPr>
          <w:rStyle w:val="Strong"/>
          <w:b/>
          <w:bCs/>
          <w:sz w:val="24"/>
          <w:szCs w:val="24"/>
        </w:rPr>
        <w:t>Sustainable Development and Land Use Planning</w:t>
      </w:r>
    </w:p>
    <w:p w:rsidR="00DA35E5" w:rsidRPr="001626E4" w:rsidRDefault="00DA35E5" w:rsidP="00DA35E5">
      <w:pPr>
        <w:numPr>
          <w:ilvl w:val="0"/>
          <w:numId w:val="14"/>
        </w:numPr>
        <w:spacing w:before="100" w:beforeAutospacing="1" w:after="100" w:afterAutospacing="1" w:line="240" w:lineRule="auto"/>
        <w:rPr>
          <w:sz w:val="24"/>
          <w:szCs w:val="24"/>
        </w:rPr>
      </w:pPr>
      <w:r w:rsidRPr="001626E4">
        <w:rPr>
          <w:rStyle w:val="Strong"/>
          <w:sz w:val="24"/>
          <w:szCs w:val="24"/>
        </w:rPr>
        <w:t>Application</w:t>
      </w:r>
      <w:r w:rsidRPr="001626E4">
        <w:rPr>
          <w:sz w:val="24"/>
          <w:szCs w:val="24"/>
        </w:rPr>
        <w:t xml:space="preserve">: </w:t>
      </w:r>
      <w:r w:rsidRPr="001626E4">
        <w:rPr>
          <w:rStyle w:val="Strong"/>
          <w:sz w:val="24"/>
          <w:szCs w:val="24"/>
        </w:rPr>
        <w:t>Sustainable land-use planning</w:t>
      </w:r>
      <w:r w:rsidRPr="001626E4">
        <w:rPr>
          <w:sz w:val="24"/>
          <w:szCs w:val="24"/>
        </w:rPr>
        <w:t xml:space="preserve"> can be guided by identifying recharge zones that are either protected or developed with groundwater conservation in mind.</w:t>
      </w:r>
    </w:p>
    <w:p w:rsidR="00DA35E5" w:rsidRPr="001626E4" w:rsidRDefault="00DA35E5" w:rsidP="00DA35E5">
      <w:pPr>
        <w:numPr>
          <w:ilvl w:val="0"/>
          <w:numId w:val="14"/>
        </w:numPr>
        <w:spacing w:before="100" w:beforeAutospacing="1" w:after="100" w:afterAutospacing="1" w:line="240" w:lineRule="auto"/>
        <w:rPr>
          <w:sz w:val="24"/>
          <w:szCs w:val="24"/>
        </w:rPr>
      </w:pPr>
      <w:r w:rsidRPr="001626E4">
        <w:rPr>
          <w:rStyle w:val="Strong"/>
          <w:sz w:val="24"/>
          <w:szCs w:val="24"/>
        </w:rPr>
        <w:t>Practice</w:t>
      </w:r>
      <w:r w:rsidRPr="001626E4">
        <w:rPr>
          <w:sz w:val="24"/>
          <w:szCs w:val="24"/>
        </w:rPr>
        <w:t xml:space="preserve">: The AHP method helps prioritize recharge zones based on factors like soil permeability, rainfall, and existing land use. This data can be used to influence </w:t>
      </w:r>
      <w:r w:rsidRPr="001626E4">
        <w:rPr>
          <w:rStyle w:val="Strong"/>
          <w:sz w:val="24"/>
          <w:szCs w:val="24"/>
        </w:rPr>
        <w:t>zoning regulations</w:t>
      </w:r>
      <w:r w:rsidRPr="001626E4">
        <w:rPr>
          <w:sz w:val="24"/>
          <w:szCs w:val="24"/>
        </w:rPr>
        <w:t xml:space="preserve"> to encourage </w:t>
      </w:r>
      <w:r w:rsidRPr="001626E4">
        <w:rPr>
          <w:rStyle w:val="Strong"/>
          <w:sz w:val="24"/>
          <w:szCs w:val="24"/>
        </w:rPr>
        <w:t>low-impact development</w:t>
      </w:r>
      <w:r w:rsidRPr="001626E4">
        <w:rPr>
          <w:sz w:val="24"/>
          <w:szCs w:val="24"/>
        </w:rPr>
        <w:t xml:space="preserve"> (LID) practices, such as permeable surfaces and green spaces, in areas with high recharge potential.</w:t>
      </w:r>
    </w:p>
    <w:p w:rsidR="00DA35E5" w:rsidRPr="001626E4" w:rsidRDefault="00DA35E5" w:rsidP="00DA35E5">
      <w:pPr>
        <w:numPr>
          <w:ilvl w:val="0"/>
          <w:numId w:val="14"/>
        </w:numPr>
        <w:spacing w:before="100" w:beforeAutospacing="1" w:after="100" w:afterAutospacing="1" w:line="240" w:lineRule="auto"/>
        <w:rPr>
          <w:sz w:val="24"/>
          <w:szCs w:val="24"/>
        </w:rPr>
      </w:pPr>
      <w:r w:rsidRPr="001626E4">
        <w:rPr>
          <w:rStyle w:val="Strong"/>
          <w:sz w:val="24"/>
          <w:szCs w:val="24"/>
        </w:rPr>
        <w:t>Outcome</w:t>
      </w:r>
      <w:r w:rsidRPr="001626E4">
        <w:rPr>
          <w:sz w:val="24"/>
          <w:szCs w:val="24"/>
        </w:rPr>
        <w:t>: A more balanced urban growth that incorporates environmental concerns, ensuring that urban sprawl doesn’t outpace natural recharge processes.</w:t>
      </w:r>
    </w:p>
    <w:p w:rsidR="00DA35E5" w:rsidRPr="001626E4" w:rsidRDefault="00DA35E5" w:rsidP="00DA35E5">
      <w:pPr>
        <w:spacing w:after="200" w:line="276" w:lineRule="auto"/>
        <w:jc w:val="both"/>
        <w:rPr>
          <w:rFonts w:ascii="Times New Roman" w:eastAsia="Calibri" w:hAnsi="Times New Roman" w:cs="Times New Roman"/>
          <w:b/>
          <w:sz w:val="24"/>
          <w:szCs w:val="24"/>
        </w:rPr>
      </w:pPr>
      <w:r w:rsidRPr="001626E4">
        <w:rPr>
          <w:rFonts w:ascii="Times New Roman" w:eastAsia="Calibri" w:hAnsi="Times New Roman" w:cs="Times New Roman"/>
          <w:b/>
          <w:sz w:val="24"/>
          <w:szCs w:val="24"/>
        </w:rPr>
        <w:t>Key Takeaways from the Article (3-4 bullets for the Team)</w:t>
      </w:r>
    </w:p>
    <w:p w:rsidR="00DA35E5" w:rsidRPr="001626E4" w:rsidRDefault="00DA35E5" w:rsidP="00DA35E5">
      <w:pPr>
        <w:pStyle w:val="Heading3"/>
        <w:rPr>
          <w:sz w:val="24"/>
          <w:szCs w:val="24"/>
        </w:rPr>
      </w:pPr>
      <w:r w:rsidRPr="001626E4">
        <w:rPr>
          <w:sz w:val="24"/>
          <w:szCs w:val="24"/>
        </w:rPr>
        <w:t>1. Effective Identification of Groundwater Recharge Zones</w:t>
      </w:r>
    </w:p>
    <w:p w:rsidR="00DA35E5" w:rsidRPr="001626E4" w:rsidRDefault="00DA35E5" w:rsidP="00DA35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Key Takeaway</w:t>
      </w:r>
      <w:r w:rsidRPr="001626E4">
        <w:rPr>
          <w:rFonts w:ascii="Times New Roman" w:eastAsia="Times New Roman" w:hAnsi="Times New Roman" w:cs="Times New Roman"/>
          <w:sz w:val="24"/>
          <w:szCs w:val="24"/>
        </w:rPr>
        <w:t xml:space="preserve">: The use of </w:t>
      </w:r>
      <w:r w:rsidRPr="001626E4">
        <w:rPr>
          <w:rFonts w:ascii="Times New Roman" w:eastAsia="Times New Roman" w:hAnsi="Times New Roman" w:cs="Times New Roman"/>
          <w:b/>
          <w:bCs/>
          <w:sz w:val="24"/>
          <w:szCs w:val="24"/>
        </w:rPr>
        <w:t>GIS-based multi-criteria analysis (MCA)</w:t>
      </w:r>
      <w:r w:rsidRPr="001626E4">
        <w:rPr>
          <w:rFonts w:ascii="Times New Roman" w:eastAsia="Times New Roman" w:hAnsi="Times New Roman" w:cs="Times New Roman"/>
          <w:sz w:val="24"/>
          <w:szCs w:val="24"/>
        </w:rPr>
        <w:t xml:space="preserve"> combined with the </w:t>
      </w:r>
      <w:r w:rsidRPr="001626E4">
        <w:rPr>
          <w:rFonts w:ascii="Times New Roman" w:eastAsia="Times New Roman" w:hAnsi="Times New Roman" w:cs="Times New Roman"/>
          <w:b/>
          <w:bCs/>
          <w:sz w:val="24"/>
          <w:szCs w:val="24"/>
        </w:rPr>
        <w:t>Analytical Hierarchy Process (AHP)</w:t>
      </w:r>
      <w:r w:rsidRPr="001626E4">
        <w:rPr>
          <w:rFonts w:ascii="Times New Roman" w:eastAsia="Times New Roman" w:hAnsi="Times New Roman" w:cs="Times New Roman"/>
          <w:sz w:val="24"/>
          <w:szCs w:val="24"/>
        </w:rPr>
        <w:t xml:space="preserve"> provides a systematic, data-driven approach to identifying areas with high potential for groundwater recharge. This method evaluates multiple factors such as land use, soil type, slope, rainfall, and geological features to determine recharge potential.</w:t>
      </w:r>
    </w:p>
    <w:p w:rsidR="00DA35E5" w:rsidRPr="001626E4" w:rsidRDefault="00DA35E5" w:rsidP="00DA35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Application</w:t>
      </w:r>
      <w:r w:rsidRPr="001626E4">
        <w:rPr>
          <w:rFonts w:ascii="Times New Roman" w:eastAsia="Times New Roman" w:hAnsi="Times New Roman" w:cs="Times New Roman"/>
          <w:sz w:val="24"/>
          <w:szCs w:val="24"/>
        </w:rPr>
        <w:t xml:space="preserve">: This approach can be used to create </w:t>
      </w:r>
      <w:r w:rsidRPr="001626E4">
        <w:rPr>
          <w:rFonts w:ascii="Times New Roman" w:eastAsia="Times New Roman" w:hAnsi="Times New Roman" w:cs="Times New Roman"/>
          <w:b/>
          <w:bCs/>
          <w:sz w:val="24"/>
          <w:szCs w:val="24"/>
        </w:rPr>
        <w:t>detailed groundwater recharge maps</w:t>
      </w:r>
      <w:r w:rsidRPr="001626E4">
        <w:rPr>
          <w:rFonts w:ascii="Times New Roman" w:eastAsia="Times New Roman" w:hAnsi="Times New Roman" w:cs="Times New Roman"/>
          <w:sz w:val="24"/>
          <w:szCs w:val="24"/>
        </w:rPr>
        <w:t xml:space="preserve"> that highlight regions in need of intervention for enhancing recharge, guiding urban and rural water management strategies.</w:t>
      </w:r>
    </w:p>
    <w:p w:rsidR="00DA35E5" w:rsidRPr="001626E4" w:rsidRDefault="00DA35E5" w:rsidP="00DA35E5">
      <w:pPr>
        <w:spacing w:before="100" w:beforeAutospacing="1" w:after="100" w:afterAutospacing="1" w:line="240" w:lineRule="auto"/>
        <w:rPr>
          <w:rFonts w:ascii="Times New Roman" w:eastAsia="Times New Roman" w:hAnsi="Times New Roman" w:cs="Times New Roman"/>
          <w:sz w:val="24"/>
          <w:szCs w:val="24"/>
        </w:rPr>
      </w:pPr>
    </w:p>
    <w:p w:rsidR="00DA35E5" w:rsidRPr="001626E4" w:rsidRDefault="00DA35E5" w:rsidP="00DA35E5">
      <w:pPr>
        <w:spacing w:before="100" w:beforeAutospacing="1" w:after="100" w:afterAutospacing="1" w:line="240" w:lineRule="auto"/>
        <w:outlineLvl w:val="2"/>
        <w:rPr>
          <w:rFonts w:ascii="Times New Roman" w:eastAsia="Times New Roman" w:hAnsi="Times New Roman" w:cs="Times New Roman"/>
          <w:b/>
          <w:bCs/>
          <w:sz w:val="24"/>
          <w:szCs w:val="24"/>
        </w:rPr>
      </w:pPr>
      <w:r w:rsidRPr="001626E4">
        <w:rPr>
          <w:rFonts w:ascii="Times New Roman" w:eastAsia="Times New Roman" w:hAnsi="Times New Roman" w:cs="Times New Roman"/>
          <w:b/>
          <w:bCs/>
          <w:sz w:val="24"/>
          <w:szCs w:val="24"/>
        </w:rPr>
        <w:t>2. Data-Driven Decision Making in Urban Planning</w:t>
      </w:r>
    </w:p>
    <w:p w:rsidR="00DA35E5" w:rsidRPr="001626E4" w:rsidRDefault="00DA35E5" w:rsidP="00DA35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Key Takeaway</w:t>
      </w:r>
      <w:r w:rsidRPr="001626E4">
        <w:rPr>
          <w:rFonts w:ascii="Times New Roman" w:eastAsia="Times New Roman" w:hAnsi="Times New Roman" w:cs="Times New Roman"/>
          <w:sz w:val="24"/>
          <w:szCs w:val="24"/>
        </w:rPr>
        <w:t xml:space="preserve">: The combination of GIS and AHP allows urban planners to incorporate environmental and hydrological factors into </w:t>
      </w:r>
      <w:r w:rsidRPr="001626E4">
        <w:rPr>
          <w:rFonts w:ascii="Times New Roman" w:eastAsia="Times New Roman" w:hAnsi="Times New Roman" w:cs="Times New Roman"/>
          <w:b/>
          <w:bCs/>
          <w:sz w:val="24"/>
          <w:szCs w:val="24"/>
        </w:rPr>
        <w:t>land-use planning</w:t>
      </w:r>
      <w:r w:rsidRPr="001626E4">
        <w:rPr>
          <w:rFonts w:ascii="Times New Roman" w:eastAsia="Times New Roman" w:hAnsi="Times New Roman" w:cs="Times New Roman"/>
          <w:sz w:val="24"/>
          <w:szCs w:val="24"/>
        </w:rPr>
        <w:t xml:space="preserve">. It helps prioritize areas for </w:t>
      </w:r>
      <w:r w:rsidRPr="001626E4">
        <w:rPr>
          <w:rFonts w:ascii="Times New Roman" w:eastAsia="Times New Roman" w:hAnsi="Times New Roman" w:cs="Times New Roman"/>
          <w:b/>
          <w:bCs/>
          <w:sz w:val="24"/>
          <w:szCs w:val="24"/>
        </w:rPr>
        <w:t>rainwater harvesting</w:t>
      </w:r>
      <w:r w:rsidRPr="001626E4">
        <w:rPr>
          <w:rFonts w:ascii="Times New Roman" w:eastAsia="Times New Roman" w:hAnsi="Times New Roman" w:cs="Times New Roman"/>
          <w:sz w:val="24"/>
          <w:szCs w:val="24"/>
        </w:rPr>
        <w:t xml:space="preserve">, </w:t>
      </w:r>
      <w:r w:rsidRPr="001626E4">
        <w:rPr>
          <w:rFonts w:ascii="Times New Roman" w:eastAsia="Times New Roman" w:hAnsi="Times New Roman" w:cs="Times New Roman"/>
          <w:b/>
          <w:bCs/>
          <w:sz w:val="24"/>
          <w:szCs w:val="24"/>
        </w:rPr>
        <w:t>green infrastructure</w:t>
      </w:r>
      <w:r w:rsidRPr="001626E4">
        <w:rPr>
          <w:rFonts w:ascii="Times New Roman" w:eastAsia="Times New Roman" w:hAnsi="Times New Roman" w:cs="Times New Roman"/>
          <w:sz w:val="24"/>
          <w:szCs w:val="24"/>
        </w:rPr>
        <w:t xml:space="preserve">, and </w:t>
      </w:r>
      <w:r w:rsidRPr="001626E4">
        <w:rPr>
          <w:rFonts w:ascii="Times New Roman" w:eastAsia="Times New Roman" w:hAnsi="Times New Roman" w:cs="Times New Roman"/>
          <w:b/>
          <w:bCs/>
          <w:sz w:val="24"/>
          <w:szCs w:val="24"/>
        </w:rPr>
        <w:t>sustainable construction</w:t>
      </w:r>
      <w:r w:rsidRPr="001626E4">
        <w:rPr>
          <w:rFonts w:ascii="Times New Roman" w:eastAsia="Times New Roman" w:hAnsi="Times New Roman" w:cs="Times New Roman"/>
          <w:sz w:val="24"/>
          <w:szCs w:val="24"/>
        </w:rPr>
        <w:t>.</w:t>
      </w:r>
    </w:p>
    <w:p w:rsidR="00DA35E5" w:rsidRPr="001626E4" w:rsidRDefault="00DA35E5" w:rsidP="00DA35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Application</w:t>
      </w:r>
      <w:r w:rsidRPr="001626E4">
        <w:rPr>
          <w:rFonts w:ascii="Times New Roman" w:eastAsia="Times New Roman" w:hAnsi="Times New Roman" w:cs="Times New Roman"/>
          <w:sz w:val="24"/>
          <w:szCs w:val="24"/>
        </w:rPr>
        <w:t>: Planners can integrate recharge zone data into urban development projects, encouraging the adoption of permeable surfaces, green roofs, and water-efficient buildings in high-priority recharge areas, fostering sustainable growth.</w:t>
      </w:r>
    </w:p>
    <w:p w:rsidR="00DA35E5" w:rsidRPr="001626E4" w:rsidRDefault="00DA35E5" w:rsidP="00DA35E5">
      <w:pPr>
        <w:spacing w:before="100" w:beforeAutospacing="1" w:after="100" w:afterAutospacing="1" w:line="240" w:lineRule="auto"/>
        <w:outlineLvl w:val="2"/>
        <w:rPr>
          <w:rFonts w:ascii="Times New Roman" w:eastAsia="Times New Roman" w:hAnsi="Times New Roman" w:cs="Times New Roman"/>
          <w:b/>
          <w:bCs/>
          <w:sz w:val="24"/>
          <w:szCs w:val="24"/>
        </w:rPr>
      </w:pPr>
      <w:r w:rsidRPr="001626E4">
        <w:rPr>
          <w:rFonts w:ascii="Times New Roman" w:eastAsia="Times New Roman" w:hAnsi="Times New Roman" w:cs="Times New Roman"/>
          <w:b/>
          <w:bCs/>
          <w:sz w:val="24"/>
          <w:szCs w:val="24"/>
        </w:rPr>
        <w:t>3. Informed Groundwater Conservation Strategies</w:t>
      </w:r>
    </w:p>
    <w:p w:rsidR="00DA35E5" w:rsidRPr="001626E4" w:rsidRDefault="00DA35E5" w:rsidP="00DA35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Key Takeaway</w:t>
      </w:r>
      <w:r w:rsidRPr="001626E4">
        <w:rPr>
          <w:rFonts w:ascii="Times New Roman" w:eastAsia="Times New Roman" w:hAnsi="Times New Roman" w:cs="Times New Roman"/>
          <w:sz w:val="24"/>
          <w:szCs w:val="24"/>
        </w:rPr>
        <w:t xml:space="preserve">: </w:t>
      </w:r>
      <w:proofErr w:type="gramStart"/>
      <w:r w:rsidRPr="001626E4">
        <w:rPr>
          <w:rFonts w:ascii="Times New Roman" w:eastAsia="Times New Roman" w:hAnsi="Times New Roman" w:cs="Times New Roman"/>
          <w:sz w:val="24"/>
          <w:szCs w:val="24"/>
        </w:rPr>
        <w:t>Identifying recharge zones is</w:t>
      </w:r>
      <w:proofErr w:type="gramEnd"/>
      <w:r w:rsidRPr="001626E4">
        <w:rPr>
          <w:rFonts w:ascii="Times New Roman" w:eastAsia="Times New Roman" w:hAnsi="Times New Roman" w:cs="Times New Roman"/>
          <w:sz w:val="24"/>
          <w:szCs w:val="24"/>
        </w:rPr>
        <w:t xml:space="preserve"> critical for </w:t>
      </w:r>
      <w:r w:rsidRPr="001626E4">
        <w:rPr>
          <w:rFonts w:ascii="Times New Roman" w:eastAsia="Times New Roman" w:hAnsi="Times New Roman" w:cs="Times New Roman"/>
          <w:b/>
          <w:bCs/>
          <w:sz w:val="24"/>
          <w:szCs w:val="24"/>
        </w:rPr>
        <w:t>groundwater conservation</w:t>
      </w:r>
      <w:r w:rsidRPr="001626E4">
        <w:rPr>
          <w:rFonts w:ascii="Times New Roman" w:eastAsia="Times New Roman" w:hAnsi="Times New Roman" w:cs="Times New Roman"/>
          <w:sz w:val="24"/>
          <w:szCs w:val="24"/>
        </w:rPr>
        <w:t>, especially in urban areas facing over-extraction. The AHP technique assigns weight to factors like soil permeability and slope to assess recharge potential more accurately.</w:t>
      </w:r>
    </w:p>
    <w:p w:rsidR="00DA35E5" w:rsidRPr="001626E4" w:rsidRDefault="00DA35E5" w:rsidP="00DA35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Application</w:t>
      </w:r>
      <w:r w:rsidRPr="001626E4">
        <w:rPr>
          <w:rFonts w:ascii="Times New Roman" w:eastAsia="Times New Roman" w:hAnsi="Times New Roman" w:cs="Times New Roman"/>
          <w:sz w:val="24"/>
          <w:szCs w:val="24"/>
        </w:rPr>
        <w:t xml:space="preserve">: This method helps local governments and water authorities develop targeted conservation measures, such as protecting natural recharge zones or promoting </w:t>
      </w:r>
      <w:r w:rsidRPr="001626E4">
        <w:rPr>
          <w:rFonts w:ascii="Times New Roman" w:eastAsia="Times New Roman" w:hAnsi="Times New Roman" w:cs="Times New Roman"/>
          <w:b/>
          <w:bCs/>
          <w:sz w:val="24"/>
          <w:szCs w:val="24"/>
        </w:rPr>
        <w:t>artificial recharge techniques</w:t>
      </w:r>
      <w:r w:rsidRPr="001626E4">
        <w:rPr>
          <w:rFonts w:ascii="Times New Roman" w:eastAsia="Times New Roman" w:hAnsi="Times New Roman" w:cs="Times New Roman"/>
          <w:sz w:val="24"/>
          <w:szCs w:val="24"/>
        </w:rPr>
        <w:t xml:space="preserve"> (e.g., recharge wells, ponds, </w:t>
      </w:r>
      <w:proofErr w:type="gramStart"/>
      <w:r w:rsidRPr="001626E4">
        <w:rPr>
          <w:rFonts w:ascii="Times New Roman" w:eastAsia="Times New Roman" w:hAnsi="Times New Roman" w:cs="Times New Roman"/>
          <w:sz w:val="24"/>
          <w:szCs w:val="24"/>
        </w:rPr>
        <w:t>check</w:t>
      </w:r>
      <w:proofErr w:type="gramEnd"/>
      <w:r w:rsidRPr="001626E4">
        <w:rPr>
          <w:rFonts w:ascii="Times New Roman" w:eastAsia="Times New Roman" w:hAnsi="Times New Roman" w:cs="Times New Roman"/>
          <w:sz w:val="24"/>
          <w:szCs w:val="24"/>
        </w:rPr>
        <w:t xml:space="preserve"> dams) in areas with high recharge potential.</w:t>
      </w:r>
    </w:p>
    <w:p w:rsidR="00DA35E5" w:rsidRPr="001626E4" w:rsidRDefault="00DA35E5" w:rsidP="00DA35E5">
      <w:pPr>
        <w:spacing w:before="100" w:beforeAutospacing="1" w:after="100" w:afterAutospacing="1" w:line="240" w:lineRule="auto"/>
        <w:outlineLvl w:val="2"/>
        <w:rPr>
          <w:rFonts w:ascii="Times New Roman" w:eastAsia="Times New Roman" w:hAnsi="Times New Roman" w:cs="Times New Roman"/>
          <w:b/>
          <w:bCs/>
          <w:sz w:val="24"/>
          <w:szCs w:val="24"/>
        </w:rPr>
      </w:pPr>
      <w:r w:rsidRPr="001626E4">
        <w:rPr>
          <w:rFonts w:ascii="Times New Roman" w:eastAsia="Times New Roman" w:hAnsi="Times New Roman" w:cs="Times New Roman"/>
          <w:b/>
          <w:bCs/>
          <w:sz w:val="24"/>
          <w:szCs w:val="24"/>
        </w:rPr>
        <w:t>4. Enhancement of Climate Resilience</w:t>
      </w:r>
    </w:p>
    <w:p w:rsidR="00DA35E5" w:rsidRPr="001626E4" w:rsidRDefault="00DA35E5" w:rsidP="00DA35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Key Takeaway</w:t>
      </w:r>
      <w:r w:rsidRPr="001626E4">
        <w:rPr>
          <w:rFonts w:ascii="Times New Roman" w:eastAsia="Times New Roman" w:hAnsi="Times New Roman" w:cs="Times New Roman"/>
          <w:sz w:val="24"/>
          <w:szCs w:val="24"/>
        </w:rPr>
        <w:t xml:space="preserve">: The study's methodology provides an essential tool for </w:t>
      </w:r>
      <w:r w:rsidRPr="001626E4">
        <w:rPr>
          <w:rFonts w:ascii="Times New Roman" w:eastAsia="Times New Roman" w:hAnsi="Times New Roman" w:cs="Times New Roman"/>
          <w:b/>
          <w:bCs/>
          <w:sz w:val="24"/>
          <w:szCs w:val="24"/>
        </w:rPr>
        <w:t>climate resilience</w:t>
      </w:r>
      <w:r w:rsidRPr="001626E4">
        <w:rPr>
          <w:rFonts w:ascii="Times New Roman" w:eastAsia="Times New Roman" w:hAnsi="Times New Roman" w:cs="Times New Roman"/>
          <w:sz w:val="24"/>
          <w:szCs w:val="24"/>
        </w:rPr>
        <w:t xml:space="preserve"> by identifying groundwater recharge zones that can mitigate the impact of climate change. Recharge zones are crucial for maintaining groundwater levels during dry periods or droughts.</w:t>
      </w:r>
    </w:p>
    <w:p w:rsidR="00DA35E5" w:rsidRPr="001626E4" w:rsidRDefault="00DA35E5" w:rsidP="00DA35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26E4">
        <w:rPr>
          <w:rFonts w:ascii="Times New Roman" w:eastAsia="Times New Roman" w:hAnsi="Times New Roman" w:cs="Times New Roman"/>
          <w:b/>
          <w:bCs/>
          <w:sz w:val="24"/>
          <w:szCs w:val="24"/>
        </w:rPr>
        <w:t>Application</w:t>
      </w:r>
      <w:r w:rsidRPr="001626E4">
        <w:rPr>
          <w:rFonts w:ascii="Times New Roman" w:eastAsia="Times New Roman" w:hAnsi="Times New Roman" w:cs="Times New Roman"/>
          <w:sz w:val="24"/>
          <w:szCs w:val="24"/>
        </w:rPr>
        <w:t xml:space="preserve">: Cities and regions can use these findings to build </w:t>
      </w:r>
      <w:r w:rsidRPr="001626E4">
        <w:rPr>
          <w:rFonts w:ascii="Times New Roman" w:eastAsia="Times New Roman" w:hAnsi="Times New Roman" w:cs="Times New Roman"/>
          <w:b/>
          <w:bCs/>
          <w:sz w:val="24"/>
          <w:szCs w:val="24"/>
        </w:rPr>
        <w:t>climate-resilient water systems</w:t>
      </w:r>
      <w:r w:rsidRPr="001626E4">
        <w:rPr>
          <w:rFonts w:ascii="Times New Roman" w:eastAsia="Times New Roman" w:hAnsi="Times New Roman" w:cs="Times New Roman"/>
          <w:sz w:val="24"/>
          <w:szCs w:val="24"/>
        </w:rPr>
        <w:t>, ensuring a more reliable water supply even under changing climate conditions, including periods of lower rainfall.</w:t>
      </w:r>
    </w:p>
    <w:p w:rsidR="00DA35E5" w:rsidRPr="001626E4" w:rsidRDefault="00DA35E5" w:rsidP="00DA35E5">
      <w:pPr>
        <w:spacing w:after="200" w:line="276" w:lineRule="auto"/>
        <w:jc w:val="both"/>
        <w:rPr>
          <w:rFonts w:ascii="Times New Roman" w:eastAsia="Calibri" w:hAnsi="Times New Roman" w:cs="Times New Roman"/>
          <w:b/>
          <w:sz w:val="24"/>
          <w:szCs w:val="24"/>
        </w:rPr>
      </w:pPr>
      <w:r w:rsidRPr="001626E4">
        <w:rPr>
          <w:rFonts w:ascii="Times New Roman" w:eastAsia="Calibri" w:hAnsi="Times New Roman" w:cs="Times New Roman"/>
          <w:b/>
          <w:sz w:val="24"/>
          <w:szCs w:val="24"/>
        </w:rPr>
        <w:t>Conclusion</w:t>
      </w:r>
    </w:p>
    <w:p w:rsidR="00053E71" w:rsidRPr="001626E4" w:rsidRDefault="00DA35E5" w:rsidP="00DA35E5">
      <w:pPr>
        <w:spacing w:after="200" w:line="276" w:lineRule="auto"/>
        <w:jc w:val="both"/>
        <w:rPr>
          <w:sz w:val="24"/>
          <w:szCs w:val="24"/>
        </w:rPr>
      </w:pPr>
      <w:r w:rsidRPr="001626E4">
        <w:rPr>
          <w:rFonts w:ascii="Times New Roman" w:hAnsi="Times New Roman" w:cs="Times New Roman"/>
          <w:sz w:val="24"/>
          <w:szCs w:val="24"/>
        </w:rPr>
        <w:t>The study on identifying groundwater recharge zones in Pune using GIS-based multi-criteria analysis and the AHP technique provides a robust framework for improving groundwater management. It emphasizes the importance of data-driven decision-making in urban planning and sustainable water resource development. The method helps prioritize areas for recharge, supporting conservation efforts and climate resilience. By integrating environmental factors and stakeholder inputs, this approach ensures more effective and adaptive water management strategies. Ultimately, it offers valuable insights for other regions facing water scarcity and groundwater depletion.</w:t>
      </w:r>
    </w:p>
    <w:sectPr w:rsidR="00053E71" w:rsidRPr="001626E4" w:rsidSect="005521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03B7D"/>
    <w:multiLevelType w:val="multilevel"/>
    <w:tmpl w:val="D9E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8215D9"/>
    <w:multiLevelType w:val="multilevel"/>
    <w:tmpl w:val="B66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B83107"/>
    <w:multiLevelType w:val="multilevel"/>
    <w:tmpl w:val="422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CD5D3F"/>
    <w:multiLevelType w:val="multilevel"/>
    <w:tmpl w:val="E3F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437F1A"/>
    <w:multiLevelType w:val="multilevel"/>
    <w:tmpl w:val="DBBA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333D4"/>
    <w:multiLevelType w:val="multilevel"/>
    <w:tmpl w:val="31B8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43042D"/>
    <w:multiLevelType w:val="multilevel"/>
    <w:tmpl w:val="DC00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B74F8"/>
    <w:multiLevelType w:val="multilevel"/>
    <w:tmpl w:val="52A6F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837229"/>
    <w:multiLevelType w:val="multilevel"/>
    <w:tmpl w:val="D12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B04E81"/>
    <w:multiLevelType w:val="multilevel"/>
    <w:tmpl w:val="D6C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C275A2"/>
    <w:multiLevelType w:val="multilevel"/>
    <w:tmpl w:val="4E4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8B1CBF"/>
    <w:multiLevelType w:val="multilevel"/>
    <w:tmpl w:val="F4A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AE2D45"/>
    <w:multiLevelType w:val="multilevel"/>
    <w:tmpl w:val="C8C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4E1638"/>
    <w:multiLevelType w:val="multilevel"/>
    <w:tmpl w:val="1EE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A57182"/>
    <w:multiLevelType w:val="multilevel"/>
    <w:tmpl w:val="956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233D2A"/>
    <w:multiLevelType w:val="multilevel"/>
    <w:tmpl w:val="5C2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B50FE6"/>
    <w:multiLevelType w:val="multilevel"/>
    <w:tmpl w:val="54B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C20D25"/>
    <w:multiLevelType w:val="multilevel"/>
    <w:tmpl w:val="0B1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17"/>
  </w:num>
  <w:num w:numId="6">
    <w:abstractNumId w:val="13"/>
  </w:num>
  <w:num w:numId="7">
    <w:abstractNumId w:val="1"/>
  </w:num>
  <w:num w:numId="8">
    <w:abstractNumId w:val="12"/>
  </w:num>
  <w:num w:numId="9">
    <w:abstractNumId w:val="15"/>
  </w:num>
  <w:num w:numId="10">
    <w:abstractNumId w:val="16"/>
  </w:num>
  <w:num w:numId="11">
    <w:abstractNumId w:val="8"/>
  </w:num>
  <w:num w:numId="12">
    <w:abstractNumId w:val="11"/>
  </w:num>
  <w:num w:numId="13">
    <w:abstractNumId w:val="9"/>
  </w:num>
  <w:num w:numId="14">
    <w:abstractNumId w:val="2"/>
  </w:num>
  <w:num w:numId="15">
    <w:abstractNumId w:val="3"/>
  </w:num>
  <w:num w:numId="16">
    <w:abstractNumId w:val="10"/>
  </w:num>
  <w:num w:numId="17">
    <w:abstractNumId w:val="0"/>
  </w:num>
  <w:num w:numId="1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A35E5"/>
    <w:rsid w:val="00053E71"/>
    <w:rsid w:val="001626E4"/>
    <w:rsid w:val="00244B97"/>
    <w:rsid w:val="0055217C"/>
    <w:rsid w:val="00DA35E5"/>
    <w:rsid w:val="00E063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5E5"/>
    <w:rPr>
      <w:rFonts w:eastAsiaTheme="minorEastAsia"/>
    </w:rPr>
  </w:style>
  <w:style w:type="paragraph" w:styleId="Heading3">
    <w:name w:val="heading 3"/>
    <w:basedOn w:val="Normal"/>
    <w:link w:val="Heading3Char"/>
    <w:uiPriority w:val="9"/>
    <w:qFormat/>
    <w:rsid w:val="00DA35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35E5"/>
    <w:rPr>
      <w:rFonts w:ascii="Times New Roman" w:eastAsia="Times New Roman" w:hAnsi="Times New Roman" w:cs="Times New Roman"/>
      <w:b/>
      <w:bCs/>
      <w:sz w:val="27"/>
      <w:szCs w:val="27"/>
    </w:rPr>
  </w:style>
  <w:style w:type="paragraph" w:styleId="NormalWeb">
    <w:name w:val="Normal (Web)"/>
    <w:basedOn w:val="Normal"/>
    <w:uiPriority w:val="99"/>
    <w:unhideWhenUsed/>
    <w:rsid w:val="00DA35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35E5"/>
    <w:rPr>
      <w:b/>
      <w:bCs/>
    </w:rPr>
  </w:style>
</w:styles>
</file>

<file path=word/webSettings.xml><?xml version="1.0" encoding="utf-8"?>
<w:webSettings xmlns:r="http://schemas.openxmlformats.org/officeDocument/2006/relationships" xmlns:w="http://schemas.openxmlformats.org/wordprocessingml/2006/main">
  <w:divs>
    <w:div w:id="536965636">
      <w:bodyDiv w:val="1"/>
      <w:marLeft w:val="0"/>
      <w:marRight w:val="0"/>
      <w:marTop w:val="0"/>
      <w:marBottom w:val="0"/>
      <w:divBdr>
        <w:top w:val="none" w:sz="0" w:space="0" w:color="auto"/>
        <w:left w:val="none" w:sz="0" w:space="0" w:color="auto"/>
        <w:bottom w:val="none" w:sz="0" w:space="0" w:color="auto"/>
        <w:right w:val="none" w:sz="0" w:space="0" w:color="auto"/>
      </w:divBdr>
    </w:div>
    <w:div w:id="1312637068">
      <w:bodyDiv w:val="1"/>
      <w:marLeft w:val="0"/>
      <w:marRight w:val="0"/>
      <w:marTop w:val="0"/>
      <w:marBottom w:val="0"/>
      <w:divBdr>
        <w:top w:val="none" w:sz="0" w:space="0" w:color="auto"/>
        <w:left w:val="none" w:sz="0" w:space="0" w:color="auto"/>
        <w:bottom w:val="none" w:sz="0" w:space="0" w:color="auto"/>
        <w:right w:val="none" w:sz="0" w:space="0" w:color="auto"/>
      </w:divBdr>
    </w:div>
    <w:div w:id="134987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BHUSHAN</cp:lastModifiedBy>
  <cp:revision>3</cp:revision>
  <dcterms:created xsi:type="dcterms:W3CDTF">2024-11-15T11:48:00Z</dcterms:created>
  <dcterms:modified xsi:type="dcterms:W3CDTF">2024-11-15T17:01:00Z</dcterms:modified>
</cp:coreProperties>
</file>