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E6BF" w14:textId="6A296333" w:rsidR="003346E4" w:rsidRPr="00C03C9F" w:rsidRDefault="003346E4" w:rsidP="003346E4">
      <w:pPr>
        <w:rPr>
          <w:b/>
          <w:bCs/>
          <w:u w:val="single"/>
        </w:rPr>
      </w:pPr>
      <w:r w:rsidRPr="00C03C9F">
        <w:rPr>
          <w:b/>
          <w:bCs/>
          <w:u w:val="single"/>
        </w:rPr>
        <w:t>Executive Summary &amp; Core KPIs</w:t>
      </w:r>
    </w:p>
    <w:p w14:paraId="0463E98F" w14:textId="77777777" w:rsidR="003346E4" w:rsidRDefault="003346E4" w:rsidP="003346E4">
      <w:r>
        <w:t>The organization currently maintains a stable, mid-sized workforce with competitive core metrics. Total workforce costs are heavily driven by a few specialized professional tracks, while the rest of the operational staff is managed under highly structured, compressed pay scales.</w:t>
      </w:r>
    </w:p>
    <w:p w14:paraId="0803C0F5" w14:textId="77777777" w:rsidR="003346E4" w:rsidRDefault="003346E4" w:rsidP="003346E4"/>
    <w:p w14:paraId="130E3EB7" w14:textId="77777777" w:rsidR="003346E4" w:rsidRDefault="003346E4" w:rsidP="003346E4">
      <w:r>
        <w:t>* Total Headcount: 161 Active Employees</w:t>
      </w:r>
    </w:p>
    <w:p w14:paraId="24889F70" w14:textId="77777777" w:rsidR="003346E4" w:rsidRDefault="003346E4" w:rsidP="003346E4">
      <w:r>
        <w:t>* Total Annual Payroll: $8.73 Million</w:t>
      </w:r>
    </w:p>
    <w:p w14:paraId="285964EE" w14:textId="77777777" w:rsidR="003346E4" w:rsidRDefault="003346E4" w:rsidP="003346E4">
      <w:r>
        <w:t>* Average Salary: $54.23K</w:t>
      </w:r>
    </w:p>
    <w:p w14:paraId="0881BEC1" w14:textId="77777777" w:rsidR="003346E4" w:rsidRDefault="003346E4" w:rsidP="003346E4">
      <w:r>
        <w:t>* Average Experience: 5.89 Years</w:t>
      </w:r>
    </w:p>
    <w:p w14:paraId="747F9FBE" w14:textId="77777777" w:rsidR="003346E4" w:rsidRDefault="003346E4" w:rsidP="003346E4">
      <w:r>
        <w:t>* Average Annual Leave Taken: 16.42 Days</w:t>
      </w:r>
    </w:p>
    <w:p w14:paraId="5F202D9D" w14:textId="77777777" w:rsidR="003346E4" w:rsidRDefault="003346E4" w:rsidP="003346E4">
      <w:r>
        <w:t>* Total Leave Liability: 2,643 Days</w:t>
      </w:r>
    </w:p>
    <w:p w14:paraId="7082C7F5" w14:textId="77777777" w:rsidR="003346E4" w:rsidRDefault="003346E4" w:rsidP="003346E4"/>
    <w:p w14:paraId="17426957" w14:textId="77777777" w:rsidR="00C03C9F" w:rsidRDefault="003346E4" w:rsidP="003346E4">
      <w:r w:rsidRPr="00C03C9F">
        <w:rPr>
          <w:b/>
          <w:bCs/>
          <w:u w:val="single"/>
        </w:rPr>
        <w:t>Key Findings</w:t>
      </w:r>
      <w:r>
        <w:t xml:space="preserve"> </w:t>
      </w:r>
    </w:p>
    <w:p w14:paraId="3988A158" w14:textId="6FB53F18" w:rsidR="003346E4" w:rsidRDefault="003346E4" w:rsidP="003346E4">
      <w:r>
        <w:t>Workforce Growth &amp; Demographics</w:t>
      </w:r>
    </w:p>
    <w:p w14:paraId="49A282D6" w14:textId="77777777" w:rsidR="003346E4" w:rsidRDefault="003346E4" w:rsidP="003346E4"/>
    <w:p w14:paraId="1EEB1BDC" w14:textId="77777777" w:rsidR="00C03C9F" w:rsidRDefault="003346E4" w:rsidP="003346E4">
      <w:pPr>
        <w:pStyle w:val="ListParagraph"/>
        <w:numPr>
          <w:ilvl w:val="0"/>
          <w:numId w:val="1"/>
        </w:numPr>
      </w:pPr>
      <w:r>
        <w:t>Post-2020 Contraction: The workforce experienced rapid scaling that peaked in 2020, followed by a steady downward trend in headcount through 2023.</w:t>
      </w:r>
    </w:p>
    <w:p w14:paraId="4A470BD8" w14:textId="77777777" w:rsidR="00C03C9F" w:rsidRDefault="003346E4" w:rsidP="003346E4">
      <w:pPr>
        <w:pStyle w:val="ListParagraph"/>
        <w:numPr>
          <w:ilvl w:val="0"/>
          <w:numId w:val="1"/>
        </w:numPr>
      </w:pPr>
      <w:r>
        <w:t>Highly Educated Population: The organization leans strongly toward formal education, with 49 employees holding a Bachelor's Degree, followed tightly by High School Diplomas (42) and Diplomas (41).</w:t>
      </w:r>
    </w:p>
    <w:p w14:paraId="617BFAE5" w14:textId="6AE41002" w:rsidR="003346E4" w:rsidRDefault="003346E4" w:rsidP="003346E4">
      <w:pPr>
        <w:pStyle w:val="ListParagraph"/>
        <w:numPr>
          <w:ilvl w:val="0"/>
          <w:numId w:val="1"/>
        </w:numPr>
      </w:pPr>
      <w:r>
        <w:t>Experience Equity: Once past entry-level age brackets, average years of experience stabilize tightly between 5.0 and 6.4 years, showing highly balanced progression between genders.</w:t>
      </w:r>
    </w:p>
    <w:p w14:paraId="6C551036" w14:textId="77777777" w:rsidR="003346E4" w:rsidRDefault="003346E4" w:rsidP="003346E4"/>
    <w:p w14:paraId="165BCC79" w14:textId="01B46729" w:rsidR="003346E4" w:rsidRDefault="003346E4" w:rsidP="003346E4">
      <w:r>
        <w:t>Salary &amp; Qualification Drivers</w:t>
      </w:r>
    </w:p>
    <w:p w14:paraId="5AC00450" w14:textId="77777777" w:rsidR="003346E4" w:rsidRDefault="003346E4" w:rsidP="003346E4"/>
    <w:p w14:paraId="428EA034" w14:textId="77777777" w:rsidR="00C03C9F" w:rsidRDefault="003346E4" w:rsidP="003346E4">
      <w:pPr>
        <w:pStyle w:val="ListParagraph"/>
        <w:numPr>
          <w:ilvl w:val="0"/>
          <w:numId w:val="3"/>
        </w:numPr>
      </w:pPr>
      <w:r>
        <w:t>The Master’s Degree Premium: Education heavily correlates with earning power. Employees holding a Master's Degree lead with an average salary of $67k, out-earning Bachelor’s holders by an average premium of $13k.</w:t>
      </w:r>
    </w:p>
    <w:p w14:paraId="5972B863" w14:textId="77777777" w:rsidR="00C03C9F" w:rsidRDefault="003346E4" w:rsidP="003346E4">
      <w:pPr>
        <w:pStyle w:val="ListParagraph"/>
        <w:numPr>
          <w:ilvl w:val="0"/>
          <w:numId w:val="3"/>
        </w:numPr>
      </w:pPr>
      <w:r>
        <w:t xml:space="preserve">Top Cost </w:t>
      </w:r>
      <w:proofErr w:type="spellStart"/>
      <w:r>
        <w:t>Centers</w:t>
      </w:r>
      <w:proofErr w:type="spellEnd"/>
      <w:r>
        <w:t xml:space="preserve">: Personnel costs are driven by Product Managers ($83k </w:t>
      </w:r>
      <w:proofErr w:type="spellStart"/>
      <w:r>
        <w:t>avg</w:t>
      </w:r>
      <w:proofErr w:type="spellEnd"/>
      <w:r>
        <w:t xml:space="preserve">), Research Scientists ($78k </w:t>
      </w:r>
      <w:proofErr w:type="spellStart"/>
      <w:r>
        <w:t>avg</w:t>
      </w:r>
      <w:proofErr w:type="spellEnd"/>
      <w:r>
        <w:t xml:space="preserve">), and Marketing Managers ($74k </w:t>
      </w:r>
      <w:proofErr w:type="spellStart"/>
      <w:r>
        <w:t>avg</w:t>
      </w:r>
      <w:proofErr w:type="spellEnd"/>
      <w:r>
        <w:t xml:space="preserve">). Operational roles (Packaging/Production) occupy the lower tier ($35k–$38k </w:t>
      </w:r>
      <w:proofErr w:type="spellStart"/>
      <w:r>
        <w:t>avg</w:t>
      </w:r>
      <w:proofErr w:type="spellEnd"/>
      <w:r>
        <w:t>).</w:t>
      </w:r>
    </w:p>
    <w:p w14:paraId="02279DDF" w14:textId="0649D4BB" w:rsidR="003346E4" w:rsidRDefault="003346E4" w:rsidP="003346E4">
      <w:pPr>
        <w:pStyle w:val="ListParagraph"/>
        <w:numPr>
          <w:ilvl w:val="0"/>
          <w:numId w:val="3"/>
        </w:numPr>
      </w:pPr>
      <w:r>
        <w:t>Rigid Salary Ceilings: Scatter plots indicate strict pay-scale structures. Even as experience climbs toward 10 years, compensation remains heavily compressed and rarely breaks past the $80k ceiling.</w:t>
      </w:r>
    </w:p>
    <w:p w14:paraId="568C1E73" w14:textId="77777777" w:rsidR="00C03C9F" w:rsidRDefault="00C03C9F" w:rsidP="003346E4"/>
    <w:p w14:paraId="6377D931" w14:textId="121F51A7" w:rsidR="003346E4" w:rsidRDefault="003346E4" w:rsidP="003346E4">
      <w:r>
        <w:lastRenderedPageBreak/>
        <w:t>Leave Balances &amp; Age Distribution</w:t>
      </w:r>
    </w:p>
    <w:p w14:paraId="07D40A04" w14:textId="77777777" w:rsidR="003346E4" w:rsidRDefault="003346E4" w:rsidP="003346E4"/>
    <w:p w14:paraId="0D12F548" w14:textId="2B588740" w:rsidR="00C03C9F" w:rsidRDefault="003346E4" w:rsidP="003346E4">
      <w:pPr>
        <w:pStyle w:val="ListParagraph"/>
        <w:numPr>
          <w:ilvl w:val="1"/>
          <w:numId w:val="5"/>
        </w:numPr>
      </w:pPr>
      <w:r>
        <w:t>Massive Leave Liabilities: The workforce carries a combined balance of 2,643 unused leave days, averaging a high 16.42 days per employee</w:t>
      </w:r>
      <w:r w:rsidR="00C03C9F">
        <w:t>.</w:t>
      </w:r>
    </w:p>
    <w:p w14:paraId="27BC2B8A" w14:textId="77777777" w:rsidR="00C03C9F" w:rsidRDefault="003346E4" w:rsidP="003346E4">
      <w:pPr>
        <w:pStyle w:val="ListParagraph"/>
        <w:numPr>
          <w:ilvl w:val="1"/>
          <w:numId w:val="5"/>
        </w:numPr>
      </w:pPr>
      <w:r>
        <w:t>Mid-Career Concentration: The vast majority of the company's talent bench is concentrated tightly between the 25–35 and 36–45 age buckets.</w:t>
      </w:r>
    </w:p>
    <w:p w14:paraId="60179613" w14:textId="37147AEA" w:rsidR="003346E4" w:rsidRDefault="003346E4" w:rsidP="003346E4">
      <w:pPr>
        <w:pStyle w:val="ListParagraph"/>
        <w:numPr>
          <w:ilvl w:val="1"/>
          <w:numId w:val="5"/>
        </w:numPr>
      </w:pPr>
      <w:r>
        <w:t>Non-Linear Absence Patterns: Leave utilization does not scale naturally with age or tenure; instead, it experiences sharp, volatile spikes at specific experience intervals.</w:t>
      </w:r>
    </w:p>
    <w:p w14:paraId="03E551F0" w14:textId="77777777" w:rsidR="003346E4" w:rsidRDefault="003346E4" w:rsidP="003346E4"/>
    <w:p w14:paraId="015F559F" w14:textId="0512C0FF" w:rsidR="003346E4" w:rsidRDefault="003346E4" w:rsidP="003346E4">
      <w:r>
        <w:t>Strategic Recommendations</w:t>
      </w:r>
    </w:p>
    <w:p w14:paraId="49488D94" w14:textId="77777777" w:rsidR="00C03C9F" w:rsidRDefault="00C03C9F" w:rsidP="00C03C9F"/>
    <w:p w14:paraId="02E2E4A3" w14:textId="0D1FB236" w:rsidR="00C03C9F" w:rsidRDefault="003346E4" w:rsidP="00C03C9F">
      <w:pPr>
        <w:pStyle w:val="ListParagraph"/>
        <w:numPr>
          <w:ilvl w:val="0"/>
          <w:numId w:val="7"/>
        </w:numPr>
      </w:pPr>
      <w:r>
        <w:t>Mitigate Financial Leave Risks:</w:t>
      </w:r>
    </w:p>
    <w:p w14:paraId="196CA2AC" w14:textId="77A95BC0" w:rsidR="00C03C9F" w:rsidRDefault="003346E4" w:rsidP="00C03C9F">
      <w:pPr>
        <w:pStyle w:val="ListParagraph"/>
      </w:pPr>
      <w:r>
        <w:t>A total backlog of 2,643 leave days represents a massive financial and operational risk. HR leadership should implement a "Use-It-or-Lose-It" policy threshold or mandate scheduled time-off blocks to burn down the accumulated leave liabilities before they impact year-end cash flows.</w:t>
      </w:r>
    </w:p>
    <w:p w14:paraId="3EFAEA49" w14:textId="77777777" w:rsidR="00C03C9F" w:rsidRDefault="00C03C9F" w:rsidP="00C03C9F">
      <w:pPr>
        <w:pStyle w:val="ListParagraph"/>
      </w:pPr>
    </w:p>
    <w:p w14:paraId="5F04E325" w14:textId="1BAD5D48" w:rsidR="00C03C9F" w:rsidRDefault="003346E4" w:rsidP="00C03C9F">
      <w:pPr>
        <w:pStyle w:val="ListParagraph"/>
        <w:numPr>
          <w:ilvl w:val="0"/>
          <w:numId w:val="7"/>
        </w:numPr>
      </w:pPr>
      <w:r>
        <w:t>Restructure Senior Pay Scales for Retention:</w:t>
      </w:r>
    </w:p>
    <w:p w14:paraId="5D466095" w14:textId="42A9D527" w:rsidR="00C03C9F" w:rsidRDefault="00C03C9F" w:rsidP="00C03C9F">
      <w:pPr>
        <w:pStyle w:val="ListParagraph"/>
      </w:pPr>
      <w:r>
        <w:t>T</w:t>
      </w:r>
      <w:r w:rsidR="003346E4">
        <w:t>he severe salary compression observed at the 6-to-10-year experience mark, combined with the sharp drop-off of staff in the "Above 45" age group, suggests a retention ceiling. To prevent losing top talent to competitors, introduce tiered seniority brackets (e.g., Senior Scientist, Principal Manager) with expanded salary bands.</w:t>
      </w:r>
    </w:p>
    <w:p w14:paraId="0B297E97" w14:textId="77777777" w:rsidR="00C03C9F" w:rsidRDefault="00C03C9F" w:rsidP="00C03C9F">
      <w:pPr>
        <w:pStyle w:val="ListParagraph"/>
      </w:pPr>
    </w:p>
    <w:p w14:paraId="5C63B591" w14:textId="77777777" w:rsidR="00C03C9F" w:rsidRDefault="003346E4" w:rsidP="003346E4">
      <w:pPr>
        <w:pStyle w:val="ListParagraph"/>
        <w:numPr>
          <w:ilvl w:val="0"/>
          <w:numId w:val="7"/>
        </w:numPr>
      </w:pPr>
      <w:r>
        <w:t>Optimize Hiring ROI Against Education Requirements:</w:t>
      </w:r>
    </w:p>
    <w:p w14:paraId="210B1AD9" w14:textId="1D1F7F4F" w:rsidR="00C03C9F" w:rsidRDefault="003346E4" w:rsidP="00C03C9F">
      <w:pPr>
        <w:pStyle w:val="ListParagraph"/>
      </w:pPr>
      <w:r>
        <w:t>While Master’s Degree holders command a $13k premium over Bachelor's degrees, evaluate if the output justification scales accordingly. For non-R&amp;D positions, shift recruiting focuses toward Bachelor's or Diploma tracks where experience equity balances out over time at a more sustainable payroll cost.</w:t>
      </w:r>
    </w:p>
    <w:p w14:paraId="1F094925" w14:textId="77777777" w:rsidR="00C03C9F" w:rsidRDefault="00C03C9F" w:rsidP="00C03C9F">
      <w:pPr>
        <w:pStyle w:val="ListParagraph"/>
      </w:pPr>
    </w:p>
    <w:p w14:paraId="4B5311F6" w14:textId="77777777" w:rsidR="00C03C9F" w:rsidRDefault="003346E4" w:rsidP="003346E4">
      <w:pPr>
        <w:pStyle w:val="ListParagraph"/>
        <w:numPr>
          <w:ilvl w:val="0"/>
          <w:numId w:val="7"/>
        </w:numPr>
      </w:pPr>
      <w:r>
        <w:t>Address the Headcount Decline:</w:t>
      </w:r>
    </w:p>
    <w:p w14:paraId="124DF976" w14:textId="78395A88" w:rsidR="003346E4" w:rsidRDefault="003346E4" w:rsidP="00C03C9F">
      <w:pPr>
        <w:pStyle w:val="ListParagraph"/>
      </w:pPr>
      <w:r>
        <w:t>Investigate the 3-year downward headcount trend following the 2020 peak. Run an internal audit to determine if this contraction represents intentional operational leaning, or an underlying attrition problem that needs to be solved with better onboarding or workplace cultural adjustments.</w:t>
      </w:r>
    </w:p>
    <w:p w14:paraId="5467CBE1" w14:textId="77777777" w:rsidR="003346E4" w:rsidRDefault="003346E4" w:rsidP="003346E4"/>
    <w:sectPr w:rsidR="003346E4" w:rsidSect="00C94D9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A7B7" w14:textId="77777777" w:rsidR="00FE60BC" w:rsidRDefault="00FE60BC" w:rsidP="000367CD">
      <w:pPr>
        <w:spacing w:after="0" w:line="240" w:lineRule="auto"/>
      </w:pPr>
      <w:r>
        <w:separator/>
      </w:r>
    </w:p>
  </w:endnote>
  <w:endnote w:type="continuationSeparator" w:id="0">
    <w:p w14:paraId="48B3E0A1" w14:textId="77777777" w:rsidR="00FE60BC" w:rsidRDefault="00FE60BC" w:rsidP="00036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09FE" w14:textId="77777777" w:rsidR="00FE60BC" w:rsidRDefault="00FE60BC" w:rsidP="000367CD">
      <w:pPr>
        <w:spacing w:after="0" w:line="240" w:lineRule="auto"/>
      </w:pPr>
      <w:r>
        <w:separator/>
      </w:r>
    </w:p>
  </w:footnote>
  <w:footnote w:type="continuationSeparator" w:id="0">
    <w:p w14:paraId="0B5CAC15" w14:textId="77777777" w:rsidR="00FE60BC" w:rsidRDefault="00FE60BC" w:rsidP="000367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2E36" w14:textId="29F7C332" w:rsidR="000367CD" w:rsidRDefault="000367CD">
    <w:pPr>
      <w:pStyle w:val="Header"/>
      <w:rPr>
        <w:lang w:val="en-US"/>
      </w:rPr>
    </w:pPr>
    <w:r>
      <w:rPr>
        <w:lang w:val="en-US"/>
      </w:rPr>
      <w:t>HR Analytics Executive Report- Comprehensive Dashboard Insights</w:t>
    </w:r>
  </w:p>
  <w:p w14:paraId="4CAD8856" w14:textId="4EFD94F4" w:rsidR="000367CD" w:rsidRDefault="000367CD">
    <w:pPr>
      <w:pStyle w:val="Header"/>
      <w:rPr>
        <w:lang w:val="en-US"/>
      </w:rPr>
    </w:pPr>
    <w:r>
      <w:rPr>
        <w:lang w:val="en-US"/>
      </w:rPr>
      <w:t>Prepared by- Renuka Vora</w:t>
    </w:r>
  </w:p>
  <w:p w14:paraId="7A2EAAB6" w14:textId="091AD300" w:rsidR="000367CD" w:rsidRDefault="000367CD">
    <w:pPr>
      <w:pStyle w:val="Header"/>
      <w:rPr>
        <w:lang w:val="en-US"/>
      </w:rPr>
    </w:pPr>
    <w:r>
      <w:rPr>
        <w:lang w:val="en-US"/>
      </w:rPr>
      <w:t>Dated- 22/07/2026</w:t>
    </w:r>
  </w:p>
  <w:p w14:paraId="07C3428A" w14:textId="68DC4C8C" w:rsidR="000367CD" w:rsidRDefault="000367CD">
    <w:pPr>
      <w:pStyle w:val="Header"/>
      <w:rPr>
        <w:lang w:val="en-US"/>
      </w:rPr>
    </w:pPr>
    <w:r>
      <w:rPr>
        <w:lang w:val="en-US"/>
      </w:rPr>
      <w:t>Target Audience- HR Leadership Team and Executive Stakeholders</w:t>
    </w:r>
  </w:p>
  <w:p w14:paraId="2A958256" w14:textId="77777777" w:rsidR="000367CD" w:rsidRPr="000367CD" w:rsidRDefault="000367C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19BD"/>
    <w:multiLevelType w:val="hybridMultilevel"/>
    <w:tmpl w:val="480084F8"/>
    <w:lvl w:ilvl="0" w:tplc="39E6A0CA">
      <w:start w:val="1"/>
      <w:numFmt w:val="bullet"/>
      <w:lvlText w:val=""/>
      <w:lvlJc w:val="left"/>
      <w:pPr>
        <w:ind w:left="720" w:hanging="360"/>
      </w:pPr>
      <w:rPr>
        <w:rFonts w:ascii="Wingdings" w:hAnsi="Wingdings" w:hint="default"/>
      </w:rPr>
    </w:lvl>
    <w:lvl w:ilvl="1" w:tplc="39E6A0CA">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AD62CD"/>
    <w:multiLevelType w:val="hybridMultilevel"/>
    <w:tmpl w:val="493850DC"/>
    <w:lvl w:ilvl="0" w:tplc="39E6A0C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9D0CA2"/>
    <w:multiLevelType w:val="hybridMultilevel"/>
    <w:tmpl w:val="0438588C"/>
    <w:lvl w:ilvl="0" w:tplc="BDEA633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20D4CA8"/>
    <w:multiLevelType w:val="hybridMultilevel"/>
    <w:tmpl w:val="C2EED16E"/>
    <w:lvl w:ilvl="0" w:tplc="F40E82C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F644B3"/>
    <w:multiLevelType w:val="hybridMultilevel"/>
    <w:tmpl w:val="6F16229A"/>
    <w:lvl w:ilvl="0" w:tplc="4009000F">
      <w:start w:val="1"/>
      <w:numFmt w:val="decimal"/>
      <w:lvlText w:val="%1."/>
      <w:lvlJc w:val="left"/>
      <w:pPr>
        <w:ind w:left="773" w:hanging="360"/>
      </w:pPr>
    </w:lvl>
    <w:lvl w:ilvl="1" w:tplc="40090019" w:tentative="1">
      <w:start w:val="1"/>
      <w:numFmt w:val="lowerLetter"/>
      <w:lvlText w:val="%2."/>
      <w:lvlJc w:val="left"/>
      <w:pPr>
        <w:ind w:left="1493" w:hanging="360"/>
      </w:pPr>
    </w:lvl>
    <w:lvl w:ilvl="2" w:tplc="4009001B" w:tentative="1">
      <w:start w:val="1"/>
      <w:numFmt w:val="lowerRoman"/>
      <w:lvlText w:val="%3."/>
      <w:lvlJc w:val="right"/>
      <w:pPr>
        <w:ind w:left="2213" w:hanging="180"/>
      </w:pPr>
    </w:lvl>
    <w:lvl w:ilvl="3" w:tplc="4009000F" w:tentative="1">
      <w:start w:val="1"/>
      <w:numFmt w:val="decimal"/>
      <w:lvlText w:val="%4."/>
      <w:lvlJc w:val="left"/>
      <w:pPr>
        <w:ind w:left="2933" w:hanging="360"/>
      </w:pPr>
    </w:lvl>
    <w:lvl w:ilvl="4" w:tplc="40090019" w:tentative="1">
      <w:start w:val="1"/>
      <w:numFmt w:val="lowerLetter"/>
      <w:lvlText w:val="%5."/>
      <w:lvlJc w:val="left"/>
      <w:pPr>
        <w:ind w:left="3653" w:hanging="360"/>
      </w:pPr>
    </w:lvl>
    <w:lvl w:ilvl="5" w:tplc="4009001B" w:tentative="1">
      <w:start w:val="1"/>
      <w:numFmt w:val="lowerRoman"/>
      <w:lvlText w:val="%6."/>
      <w:lvlJc w:val="right"/>
      <w:pPr>
        <w:ind w:left="4373" w:hanging="180"/>
      </w:pPr>
    </w:lvl>
    <w:lvl w:ilvl="6" w:tplc="4009000F" w:tentative="1">
      <w:start w:val="1"/>
      <w:numFmt w:val="decimal"/>
      <w:lvlText w:val="%7."/>
      <w:lvlJc w:val="left"/>
      <w:pPr>
        <w:ind w:left="5093" w:hanging="360"/>
      </w:pPr>
    </w:lvl>
    <w:lvl w:ilvl="7" w:tplc="40090019" w:tentative="1">
      <w:start w:val="1"/>
      <w:numFmt w:val="lowerLetter"/>
      <w:lvlText w:val="%8."/>
      <w:lvlJc w:val="left"/>
      <w:pPr>
        <w:ind w:left="5813" w:hanging="360"/>
      </w:pPr>
    </w:lvl>
    <w:lvl w:ilvl="8" w:tplc="4009001B" w:tentative="1">
      <w:start w:val="1"/>
      <w:numFmt w:val="lowerRoman"/>
      <w:lvlText w:val="%9."/>
      <w:lvlJc w:val="right"/>
      <w:pPr>
        <w:ind w:left="6533" w:hanging="180"/>
      </w:pPr>
    </w:lvl>
  </w:abstractNum>
  <w:abstractNum w:abstractNumId="5" w15:restartNumberingAfterBreak="0">
    <w:nsid w:val="65D13E98"/>
    <w:multiLevelType w:val="hybridMultilevel"/>
    <w:tmpl w:val="32707D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0741DE"/>
    <w:multiLevelType w:val="hybridMultilevel"/>
    <w:tmpl w:val="7520C412"/>
    <w:lvl w:ilvl="0" w:tplc="39E6A0CA">
      <w:start w:val="1"/>
      <w:numFmt w:val="bullet"/>
      <w:lvlText w:val=""/>
      <w:lvlJc w:val="left"/>
      <w:pPr>
        <w:ind w:left="720" w:hanging="360"/>
      </w:pPr>
      <w:rPr>
        <w:rFonts w:ascii="Wingdings" w:hAnsi="Wingdings" w:hint="default"/>
      </w:rPr>
    </w:lvl>
    <w:lvl w:ilvl="1" w:tplc="A0C29BAA">
      <w:numFmt w:val="bullet"/>
      <w:lvlText w:val=""/>
      <w:lvlJc w:val="left"/>
      <w:pPr>
        <w:ind w:left="1440" w:hanging="360"/>
      </w:pPr>
      <w:rPr>
        <w:rFonts w:ascii="Symbol" w:eastAsiaTheme="minorHAnsi" w:hAnsi="Symbol"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6849236">
    <w:abstractNumId w:val="1"/>
  </w:num>
  <w:num w:numId="2" w16cid:durableId="1692561511">
    <w:abstractNumId w:val="3"/>
  </w:num>
  <w:num w:numId="3" w16cid:durableId="946695872">
    <w:abstractNumId w:val="6"/>
  </w:num>
  <w:num w:numId="4" w16cid:durableId="637224739">
    <w:abstractNumId w:val="2"/>
  </w:num>
  <w:num w:numId="5" w16cid:durableId="590428236">
    <w:abstractNumId w:val="0"/>
  </w:num>
  <w:num w:numId="6" w16cid:durableId="2059351676">
    <w:abstractNumId w:val="4"/>
  </w:num>
  <w:num w:numId="7" w16cid:durableId="1695107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CD"/>
    <w:rsid w:val="000367CD"/>
    <w:rsid w:val="00046473"/>
    <w:rsid w:val="00120835"/>
    <w:rsid w:val="003346E4"/>
    <w:rsid w:val="004F6CE3"/>
    <w:rsid w:val="00545FD1"/>
    <w:rsid w:val="008F32F2"/>
    <w:rsid w:val="00C03C9F"/>
    <w:rsid w:val="00C94D9C"/>
    <w:rsid w:val="00D95C9A"/>
    <w:rsid w:val="00FE60BC"/>
    <w:rsid w:val="00FF6E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3328"/>
  <w15:chartTrackingRefBased/>
  <w15:docId w15:val="{1E3BC0B4-7F8F-4A9B-89DB-018045D6A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7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7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7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7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7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7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7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7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7CD"/>
    <w:rPr>
      <w:rFonts w:eastAsiaTheme="majorEastAsia" w:cstheme="majorBidi"/>
      <w:color w:val="272727" w:themeColor="text1" w:themeTint="D8"/>
    </w:rPr>
  </w:style>
  <w:style w:type="paragraph" w:styleId="Title">
    <w:name w:val="Title"/>
    <w:basedOn w:val="Normal"/>
    <w:next w:val="Normal"/>
    <w:link w:val="TitleChar"/>
    <w:uiPriority w:val="10"/>
    <w:qFormat/>
    <w:rsid w:val="0003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7CD"/>
    <w:pPr>
      <w:spacing w:before="160"/>
      <w:jc w:val="center"/>
    </w:pPr>
    <w:rPr>
      <w:i/>
      <w:iCs/>
      <w:color w:val="404040" w:themeColor="text1" w:themeTint="BF"/>
    </w:rPr>
  </w:style>
  <w:style w:type="character" w:customStyle="1" w:styleId="QuoteChar">
    <w:name w:val="Quote Char"/>
    <w:basedOn w:val="DefaultParagraphFont"/>
    <w:link w:val="Quote"/>
    <w:uiPriority w:val="29"/>
    <w:rsid w:val="000367CD"/>
    <w:rPr>
      <w:i/>
      <w:iCs/>
      <w:color w:val="404040" w:themeColor="text1" w:themeTint="BF"/>
    </w:rPr>
  </w:style>
  <w:style w:type="paragraph" w:styleId="ListParagraph">
    <w:name w:val="List Paragraph"/>
    <w:basedOn w:val="Normal"/>
    <w:uiPriority w:val="34"/>
    <w:qFormat/>
    <w:rsid w:val="000367CD"/>
    <w:pPr>
      <w:ind w:left="720"/>
      <w:contextualSpacing/>
    </w:pPr>
  </w:style>
  <w:style w:type="character" w:styleId="IntenseEmphasis">
    <w:name w:val="Intense Emphasis"/>
    <w:basedOn w:val="DefaultParagraphFont"/>
    <w:uiPriority w:val="21"/>
    <w:qFormat/>
    <w:rsid w:val="000367CD"/>
    <w:rPr>
      <w:i/>
      <w:iCs/>
      <w:color w:val="2F5496" w:themeColor="accent1" w:themeShade="BF"/>
    </w:rPr>
  </w:style>
  <w:style w:type="paragraph" w:styleId="IntenseQuote">
    <w:name w:val="Intense Quote"/>
    <w:basedOn w:val="Normal"/>
    <w:next w:val="Normal"/>
    <w:link w:val="IntenseQuoteChar"/>
    <w:uiPriority w:val="30"/>
    <w:qFormat/>
    <w:rsid w:val="00036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7CD"/>
    <w:rPr>
      <w:i/>
      <w:iCs/>
      <w:color w:val="2F5496" w:themeColor="accent1" w:themeShade="BF"/>
    </w:rPr>
  </w:style>
  <w:style w:type="character" w:styleId="IntenseReference">
    <w:name w:val="Intense Reference"/>
    <w:basedOn w:val="DefaultParagraphFont"/>
    <w:uiPriority w:val="32"/>
    <w:qFormat/>
    <w:rsid w:val="000367CD"/>
    <w:rPr>
      <w:b/>
      <w:bCs/>
      <w:smallCaps/>
      <w:color w:val="2F5496" w:themeColor="accent1" w:themeShade="BF"/>
      <w:spacing w:val="5"/>
    </w:rPr>
  </w:style>
  <w:style w:type="paragraph" w:styleId="Header">
    <w:name w:val="header"/>
    <w:basedOn w:val="Normal"/>
    <w:link w:val="HeaderChar"/>
    <w:uiPriority w:val="99"/>
    <w:unhideWhenUsed/>
    <w:rsid w:val="000367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7CD"/>
  </w:style>
  <w:style w:type="paragraph" w:styleId="Footer">
    <w:name w:val="footer"/>
    <w:basedOn w:val="Normal"/>
    <w:link w:val="FooterChar"/>
    <w:uiPriority w:val="99"/>
    <w:unhideWhenUsed/>
    <w:rsid w:val="000367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 Vora</dc:creator>
  <cp:keywords/>
  <dc:description/>
  <cp:lastModifiedBy>Jeet Vora</cp:lastModifiedBy>
  <cp:revision>1</cp:revision>
  <dcterms:created xsi:type="dcterms:W3CDTF">2026-07-22T09:47:00Z</dcterms:created>
  <dcterms:modified xsi:type="dcterms:W3CDTF">2026-07-22T10:26:00Z</dcterms:modified>
</cp:coreProperties>
</file>