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pPr>
      <w:r>
        <w:rPr>
          <w:rFonts w:ascii="Arial" w:hAnsi="Arial"/>
          <w:b/>
          <w:i w:val="0"/>
          <w:color w:val="059669"/>
          <w:sz w:val="20"/>
        </w:rPr>
        <w:t>SPESIFIKASI DOKUMEN PRODUK (PRD)</w:t>
      </w:r>
    </w:p>
    <w:p>
      <w:pPr>
        <w:spacing w:after="240" w:line="276" w:lineRule="auto"/>
      </w:pPr>
      <w:r>
        <w:rPr>
          <w:rFonts w:ascii="Arial" w:hAnsi="Arial"/>
          <w:b/>
          <w:i w:val="0"/>
          <w:color w:val="0F172A"/>
          <w:sz w:val="52"/>
        </w:rPr>
        <w:t>PRODUCT REQUIREMENTS DOCUMENT (PRD)</w:t>
        <w:br/>
        <w:t>E-ARSIP NOTA BUKTI PEMINDAHBUKUAN</w:t>
      </w:r>
    </w:p>
    <w:p>
      <w:pPr>
        <w:spacing w:after="1280"/>
      </w:pPr>
      <w:r>
        <w:rPr>
          <w:rFonts w:ascii="Arial" w:hAnsi="Arial"/>
          <w:b w:val="0"/>
          <w:i/>
          <w:color w:val="64748B"/>
          <w:sz w:val="26"/>
        </w:rPr>
        <w:t>Sistem Digitalisasi Dokumen Bukti Pemindahbukuan &amp; Manajemen Sirkulasi Fisik Kearsipan Internal PT. Bank SulutGo (Edisi Peran Tunggal)</w:t>
      </w:r>
    </w:p>
    <w:tbl>
      <w:tblPr>
        <w:tblW w:type="auto" w:w="0"/>
        <w:jc w:val="center"/>
        <w:tblLook w:firstColumn="1" w:firstRow="1" w:lastColumn="0" w:lastRow="0" w:noHBand="0" w:noVBand="1" w:val="04A0"/>
      </w:tblPr>
      <w:tblGrid>
        <w:gridCol w:w="4680"/>
        <w:gridCol w:w="4680"/>
      </w:tblGrid>
      <w:tr>
        <w:tc>
          <w:tcPr>
            <w:tcW w:type="dxa" w:w="3600"/>
            <w:shd w:fill="0F172A"/>
            <w:tcMar>
              <w:top w:w="120" w:type="dxa"/>
              <w:bottom w:w="120" w:type="dxa"/>
              <w:left w:w="150" w:type="dxa"/>
              <w:right w:w="150" w:type="dxa"/>
            </w:tcMar>
          </w:tcPr>
          <w:p>
            <w:pPr>
              <w:jc w:val="left"/>
            </w:pPr>
            <w:r>
              <w:rPr>
                <w:rFonts w:ascii="Arial" w:hAnsi="Arial"/>
                <w:b/>
                <w:color w:val="FFFFFF"/>
                <w:sz w:val="20"/>
              </w:rPr>
              <w:t>Identifikasi Dokumen</w:t>
            </w:r>
          </w:p>
        </w:tc>
        <w:tc>
          <w:tcPr>
            <w:tcW w:type="dxa" w:w="5760"/>
            <w:shd w:fill="0F172A"/>
            <w:tcMar>
              <w:top w:w="120" w:type="dxa"/>
              <w:bottom w:w="120" w:type="dxa"/>
              <w:left w:w="150" w:type="dxa"/>
              <w:right w:w="150" w:type="dxa"/>
            </w:tcMar>
          </w:tcPr>
          <w:p>
            <w:pPr>
              <w:jc w:val="left"/>
            </w:pPr>
            <w:r>
              <w:rPr>
                <w:rFonts w:ascii="Arial" w:hAnsi="Arial"/>
                <w:b/>
                <w:color w:val="FFFFFF"/>
                <w:sz w:val="20"/>
              </w:rPr>
              <w:t>Keterangan / Nilai</w:t>
            </w:r>
          </w:p>
        </w:tc>
      </w:tr>
      <w:tr>
        <w:tc>
          <w:tcPr>
            <w:tcW w:type="dxa" w:w="3600"/>
            <w:shd w:fill="FFFFFF"/>
            <w:tcMar>
              <w:top w:w="100" w:type="dxa"/>
              <w:bottom w:w="100" w:type="dxa"/>
              <w:left w:w="150" w:type="dxa"/>
              <w:right w:w="150" w:type="dxa"/>
            </w:tcMar>
          </w:tcPr>
          <w:p>
            <w:r>
              <w:rPr>
                <w:rFonts w:ascii="Arial" w:hAnsi="Arial"/>
                <w:color w:val="334155"/>
                <w:sz w:val="18"/>
              </w:rPr>
              <w:t>Nama Proyek</w:t>
            </w:r>
          </w:p>
        </w:tc>
        <w:tc>
          <w:tcPr>
            <w:tcW w:type="dxa" w:w="5760"/>
            <w:shd w:fill="FFFFFF"/>
            <w:tcMar>
              <w:top w:w="100" w:type="dxa"/>
              <w:bottom w:w="100" w:type="dxa"/>
              <w:left w:w="150" w:type="dxa"/>
              <w:right w:w="150" w:type="dxa"/>
            </w:tcMar>
          </w:tcPr>
          <w:p>
            <w:r>
              <w:rPr>
                <w:rFonts w:ascii="Arial" w:hAnsi="Arial"/>
                <w:color w:val="334155"/>
                <w:sz w:val="18"/>
              </w:rPr>
              <w:t>E-Arsip Nota BSG (Bukti Pemindahbukuan)</w:t>
            </w:r>
          </w:p>
        </w:tc>
      </w:tr>
      <w:tr>
        <w:tc>
          <w:tcPr>
            <w:tcW w:type="dxa" w:w="3600"/>
            <w:shd w:fill="F8FAFC"/>
            <w:tcMar>
              <w:top w:w="100" w:type="dxa"/>
              <w:bottom w:w="100" w:type="dxa"/>
              <w:left w:w="150" w:type="dxa"/>
              <w:right w:w="150" w:type="dxa"/>
            </w:tcMar>
          </w:tcPr>
          <w:p>
            <w:r>
              <w:rPr>
                <w:rFonts w:ascii="Arial" w:hAnsi="Arial"/>
                <w:color w:val="334155"/>
                <w:sz w:val="18"/>
              </w:rPr>
              <w:t>Versi Dokumen</w:t>
            </w:r>
          </w:p>
        </w:tc>
        <w:tc>
          <w:tcPr>
            <w:tcW w:type="dxa" w:w="5760"/>
            <w:shd w:fill="F8FAFC"/>
            <w:tcMar>
              <w:top w:w="100" w:type="dxa"/>
              <w:bottom w:w="100" w:type="dxa"/>
              <w:left w:w="150" w:type="dxa"/>
              <w:right w:w="150" w:type="dxa"/>
            </w:tcMar>
          </w:tcPr>
          <w:p>
            <w:r>
              <w:rPr>
                <w:rFonts w:ascii="Arial" w:hAnsi="Arial"/>
                <w:color w:val="334155"/>
                <w:sz w:val="18"/>
              </w:rPr>
              <w:t>1.3 (Simplifikasi Peran Admin Tunggal)</w:t>
            </w:r>
          </w:p>
        </w:tc>
      </w:tr>
      <w:tr>
        <w:tc>
          <w:tcPr>
            <w:tcW w:type="dxa" w:w="3600"/>
            <w:shd w:fill="FFFFFF"/>
            <w:tcMar>
              <w:top w:w="100" w:type="dxa"/>
              <w:bottom w:w="100" w:type="dxa"/>
              <w:left w:w="150" w:type="dxa"/>
              <w:right w:w="150" w:type="dxa"/>
            </w:tcMar>
          </w:tcPr>
          <w:p>
            <w:r>
              <w:rPr>
                <w:rFonts w:ascii="Arial" w:hAnsi="Arial"/>
                <w:color w:val="334155"/>
                <w:sz w:val="18"/>
              </w:rPr>
              <w:t>Tanggal Pembuatan</w:t>
            </w:r>
          </w:p>
        </w:tc>
        <w:tc>
          <w:tcPr>
            <w:tcW w:type="dxa" w:w="5760"/>
            <w:shd w:fill="FFFFFF"/>
            <w:tcMar>
              <w:top w:w="100" w:type="dxa"/>
              <w:bottom w:w="100" w:type="dxa"/>
              <w:left w:w="150" w:type="dxa"/>
              <w:right w:w="150" w:type="dxa"/>
            </w:tcMar>
          </w:tcPr>
          <w:p>
            <w:r>
              <w:rPr>
                <w:rFonts w:ascii="Arial" w:hAnsi="Arial"/>
                <w:color w:val="334155"/>
                <w:sz w:val="18"/>
              </w:rPr>
              <w:t>6 Juli 2026</w:t>
            </w:r>
          </w:p>
        </w:tc>
      </w:tr>
      <w:tr>
        <w:tc>
          <w:tcPr>
            <w:tcW w:type="dxa" w:w="3600"/>
            <w:shd w:fill="F8FAFC"/>
            <w:tcMar>
              <w:top w:w="100" w:type="dxa"/>
              <w:bottom w:w="100" w:type="dxa"/>
              <w:left w:w="150" w:type="dxa"/>
              <w:right w:w="150" w:type="dxa"/>
            </w:tcMar>
          </w:tcPr>
          <w:p>
            <w:r>
              <w:rPr>
                <w:rFonts w:ascii="Arial" w:hAnsi="Arial"/>
                <w:color w:val="334155"/>
                <w:sz w:val="18"/>
              </w:rPr>
              <w:t>Organisasi</w:t>
            </w:r>
          </w:p>
        </w:tc>
        <w:tc>
          <w:tcPr>
            <w:tcW w:type="dxa" w:w="5760"/>
            <w:shd w:fill="F8FAFC"/>
            <w:tcMar>
              <w:top w:w="100" w:type="dxa"/>
              <w:bottom w:w="100" w:type="dxa"/>
              <w:left w:w="150" w:type="dxa"/>
              <w:right w:w="150" w:type="dxa"/>
            </w:tcMar>
          </w:tcPr>
          <w:p>
            <w:r>
              <w:rPr>
                <w:rFonts w:ascii="Arial" w:hAnsi="Arial"/>
                <w:color w:val="334155"/>
                <w:sz w:val="18"/>
              </w:rPr>
              <w:t>PT. Bank SulutGo - Departemen TI &amp; Kearsipan</w:t>
            </w:r>
          </w:p>
        </w:tc>
      </w:tr>
      <w:tr>
        <w:tc>
          <w:tcPr>
            <w:tcW w:type="dxa" w:w="3600"/>
            <w:shd w:fill="FFFFFF"/>
            <w:tcMar>
              <w:top w:w="100" w:type="dxa"/>
              <w:bottom w:w="100" w:type="dxa"/>
              <w:left w:w="150" w:type="dxa"/>
              <w:right w:w="150" w:type="dxa"/>
            </w:tcMar>
          </w:tcPr>
          <w:p>
            <w:r>
              <w:rPr>
                <w:rFonts w:ascii="Arial" w:hAnsi="Arial"/>
                <w:color w:val="334155"/>
                <w:sz w:val="18"/>
              </w:rPr>
              <w:t>Status Persetujuan</w:t>
            </w:r>
          </w:p>
        </w:tc>
        <w:tc>
          <w:tcPr>
            <w:tcW w:type="dxa" w:w="5760"/>
            <w:shd w:fill="FFFFFF"/>
            <w:tcMar>
              <w:top w:w="100" w:type="dxa"/>
              <w:bottom w:w="100" w:type="dxa"/>
              <w:left w:w="150" w:type="dxa"/>
              <w:right w:w="150" w:type="dxa"/>
            </w:tcMar>
          </w:tcPr>
          <w:p>
            <w:r>
              <w:rPr>
                <w:rFonts w:ascii="Arial" w:hAnsi="Arial"/>
                <w:color w:val="334155"/>
                <w:sz w:val="18"/>
              </w:rPr>
              <w:t>Disetujui &amp; Diimplementasikan</w:t>
            </w:r>
          </w:p>
        </w:tc>
      </w:tr>
      <w:tr>
        <w:tc>
          <w:tcPr>
            <w:tcW w:type="dxa" w:w="3600"/>
            <w:shd w:fill="F8FAFC"/>
            <w:tcMar>
              <w:top w:w="100" w:type="dxa"/>
              <w:bottom w:w="100" w:type="dxa"/>
              <w:left w:w="150" w:type="dxa"/>
              <w:right w:w="150" w:type="dxa"/>
            </w:tcMar>
          </w:tcPr>
          <w:p>
            <w:r>
              <w:rPr>
                <w:rFonts w:ascii="Arial" w:hAnsi="Arial"/>
                <w:color w:val="334155"/>
                <w:sz w:val="18"/>
              </w:rPr>
              <w:t>Penyusun</w:t>
            </w:r>
          </w:p>
        </w:tc>
        <w:tc>
          <w:tcPr>
            <w:tcW w:type="dxa" w:w="5760"/>
            <w:shd w:fill="F8FAFC"/>
            <w:tcMar>
              <w:top w:w="100" w:type="dxa"/>
              <w:bottom w:w="100" w:type="dxa"/>
              <w:left w:w="150" w:type="dxa"/>
              <w:right w:w="150" w:type="dxa"/>
            </w:tcMar>
          </w:tcPr>
          <w:p>
            <w:r>
              <w:rPr>
                <w:rFonts w:ascii="Arial" w:hAnsi="Arial"/>
                <w:color w:val="334155"/>
                <w:sz w:val="18"/>
              </w:rPr>
              <w:t>Tim Kearsipan &amp; Pengembang TI BSG</w:t>
            </w:r>
          </w:p>
        </w:tc>
      </w:tr>
    </w:tbl>
    <w:p>
      <w:pPr>
        <w:spacing w:before="0" w:after="120"/>
      </w:pPr>
    </w:p>
    <w:p>
      <w:r>
        <w:br w:type="page"/>
      </w:r>
    </w:p>
    <w:p>
      <w:pPr>
        <w:pStyle w:val="Heading1"/>
        <w:keepNext/>
        <w:spacing w:before="360" w:after="120"/>
      </w:pPr>
      <w:r>
        <w:rPr>
          <w:rFonts w:ascii="Arial" w:hAnsi="Arial"/>
          <w:b/>
          <w:i w:val="0"/>
          <w:color w:val="0F172A"/>
          <w:sz w:val="36"/>
        </w:rPr>
        <w:t>1. Pendahuluan &amp; Latar Belakang</w:t>
      </w:r>
    </w:p>
    <w:p>
      <w:pPr>
        <w:spacing w:before="0" w:after="120" w:line="276" w:lineRule="auto"/>
      </w:pPr>
      <w:r>
        <w:rPr>
          <w:rFonts w:ascii="Arial" w:hAnsi="Arial"/>
          <w:b w:val="0"/>
          <w:i w:val="0"/>
          <w:color w:val="334155"/>
          <w:sz w:val="20"/>
        </w:rPr>
        <w:t>Di lingkungan operasional perbankan PT. Bank SulutGo (BSG), bukti transaksi pemindahbukuan (nota bukti) merupakan instrumen vital yang harus disimpan dengan tingkat ketertelusuran yang tinggi untuk memenuhi asas kepatuhan audit internal maupun eksternal (OJK &amp; BPK). Setiap harinya, ribuan nota bukti diproses dan diarsipkan dalam bentuk fisik.</w:t>
      </w:r>
    </w:p>
    <w:p>
      <w:pPr>
        <w:spacing w:before="0" w:after="120" w:line="276" w:lineRule="auto"/>
      </w:pPr>
      <w:r>
        <w:rPr>
          <w:rFonts w:ascii="Arial" w:hAnsi="Arial"/>
          <w:b w:val="0"/>
          <w:i w:val="0"/>
          <w:color w:val="334155"/>
          <w:sz w:val="20"/>
        </w:rPr>
        <w:t>Sebelumnya, pengelolaan berkas kearsipan ini sepenuhnya mengandalkan metode manual, yang melahirkan beberapa hambatan signifikan bagi efisiensi operasional:</w:t>
      </w:r>
    </w:p>
    <w:p>
      <w:pPr>
        <w:pStyle w:val="ListBullet"/>
        <w:spacing w:before="0" w:after="60" w:line="276" w:lineRule="auto"/>
      </w:pPr>
      <w:r>
        <w:rPr>
          <w:rFonts w:ascii="Arial" w:hAnsi="Arial"/>
          <w:b/>
          <w:i w:val="0"/>
          <w:color w:val="334155"/>
          <w:sz w:val="20"/>
        </w:rPr>
        <w:t xml:space="preserve">Pencarian Tidak Efisien: </w:t>
      </w:r>
      <w:r>
        <w:rPr>
          <w:rFonts w:ascii="Arial" w:hAnsi="Arial"/>
          <w:b w:val="0"/>
          <w:i w:val="0"/>
          <w:color w:val="334155"/>
          <w:sz w:val="20"/>
        </w:rPr>
        <w:t>Pencarian dokumen transaksi secara manual memakan waktu berkisar antara 30 menit hingga beberapa jam karena susunan arsip tidak terindeks digital.</w:t>
      </w:r>
    </w:p>
    <w:p>
      <w:pPr>
        <w:pStyle w:val="ListBullet"/>
        <w:spacing w:before="0" w:after="60" w:line="276" w:lineRule="auto"/>
      </w:pPr>
      <w:r>
        <w:rPr>
          <w:rFonts w:ascii="Arial" w:hAnsi="Arial"/>
          <w:b/>
          <w:i w:val="0"/>
          <w:color w:val="334155"/>
          <w:sz w:val="20"/>
        </w:rPr>
        <w:t xml:space="preserve">Lemahnya Audit Sirkulasi: </w:t>
      </w:r>
      <w:r>
        <w:rPr>
          <w:rFonts w:ascii="Arial" w:hAnsi="Arial"/>
          <w:b w:val="0"/>
          <w:i w:val="0"/>
          <w:color w:val="334155"/>
          <w:sz w:val="20"/>
        </w:rPr>
        <w:t>Sirkulasi peminjaman dokumen fisik oleh divisi kerja (seperti Audit, Kredit, Hukum) sulit dipantau secara real-time, berisiko menyebabkan kehilangan arsip fisik tanpa pertanggungjawaban.</w:t>
      </w:r>
    </w:p>
    <w:p>
      <w:pPr>
        <w:pStyle w:val="ListBullet"/>
        <w:spacing w:before="0" w:after="60" w:line="276" w:lineRule="auto"/>
      </w:pPr>
      <w:r>
        <w:rPr>
          <w:rFonts w:ascii="Arial" w:hAnsi="Arial"/>
          <w:b/>
          <w:i w:val="0"/>
          <w:color w:val="334155"/>
          <w:sz w:val="20"/>
        </w:rPr>
        <w:t xml:space="preserve">Minimnya Validasi Mutu: </w:t>
      </w:r>
      <w:r>
        <w:rPr>
          <w:rFonts w:ascii="Arial" w:hAnsi="Arial"/>
          <w:b w:val="0"/>
          <w:i w:val="0"/>
          <w:color w:val="334155"/>
          <w:sz w:val="20"/>
        </w:rPr>
        <w:t>Tidak adanya validasi berlapis untuk meneliti kesesuaian berkas fisik dengan catatan digital transaksi perbankan.</w:t>
      </w:r>
    </w:p>
    <w:p>
      <w:pPr>
        <w:spacing w:before="0" w:after="120" w:line="276" w:lineRule="auto"/>
      </w:pPr>
      <w:r>
        <w:rPr>
          <w:rFonts w:ascii="Arial" w:hAnsi="Arial"/>
          <w:b w:val="0"/>
          <w:i w:val="0"/>
          <w:color w:val="334155"/>
          <w:sz w:val="20"/>
        </w:rPr>
        <w:t>Sistem E-Arsip Nota ini dibangun sebagai jawaban dari permasalahan tersebut dengan menyinergikan dua metode pelacakan: penyimpanan salinan digital (scan berkas PDF/PNG/JPG) dan visualisasi lokasi koordinat fisik dokumen secara hierarkis.</w:t>
      </w:r>
    </w:p>
    <w:p>
      <w:pPr>
        <w:pStyle w:val="Heading1"/>
        <w:keepNext/>
        <w:spacing w:before="360" w:after="120"/>
      </w:pPr>
      <w:r>
        <w:rPr>
          <w:rFonts w:ascii="Arial" w:hAnsi="Arial"/>
          <w:b/>
          <w:i w:val="0"/>
          <w:color w:val="0F172A"/>
          <w:sz w:val="36"/>
        </w:rPr>
        <w:t>2. Tujuan Proyek (Objectives)</w:t>
      </w:r>
    </w:p>
    <w:p>
      <w:pPr>
        <w:spacing w:before="0" w:after="120" w:line="276" w:lineRule="auto"/>
      </w:pPr>
      <w:r>
        <w:rPr>
          <w:rFonts w:ascii="Arial" w:hAnsi="Arial"/>
          <w:b w:val="0"/>
          <w:i w:val="0"/>
          <w:color w:val="334155"/>
          <w:sz w:val="20"/>
        </w:rPr>
        <w:t>Sistem E-Arsip Nota memiliki target strategis sebagai berikut: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top w:val="none"/>
              <w:left w:val="single" w:sz="24" w:space="0" w:color="059669"/>
              <w:bottom w:val="none"/>
              <w:right w:val="none"/>
            </w:tcBorders>
          </w:tcPr>
          <w:p>
            <w:pPr>
              <w:spacing w:before="80" w:after="40"/>
            </w:pPr>
            <w:r>
              <w:rPr>
                <w:rFonts w:ascii="Arial" w:hAnsi="Arial"/>
                <w:b/>
                <w:color w:val="0F172A"/>
                <w:sz w:val="20"/>
              </w:rPr>
              <w:t>1. Digitalisasi Dokumen Terintegrasi</w:t>
              <w:br/>
            </w:r>
            <w:r>
              <w:rPr>
                <w:rFonts w:ascii="Arial" w:hAnsi="Arial"/>
                <w:color w:val="334155"/>
                <w:sz w:val="19"/>
              </w:rPr>
              <w:t>Menyediakan repositori berkas scan bukti transaksi pemindahbukuan (format berkas pdf, png, jpg) yang aman dan terkompresi guna mengurangi intensitas pengambilan dokumen fisik secara berulang.</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top w:val="none"/>
              <w:left w:val="single" w:sz="24" w:space="0" w:color="059669"/>
              <w:bottom w:val="none"/>
              <w:right w:val="none"/>
            </w:tcBorders>
          </w:tcPr>
          <w:p>
            <w:pPr>
              <w:spacing w:before="80" w:after="40"/>
            </w:pPr>
            <w:r>
              <w:rPr>
                <w:rFonts w:ascii="Arial" w:hAnsi="Arial"/>
                <w:b/>
                <w:color w:val="0F172A"/>
                <w:sz w:val="20"/>
              </w:rPr>
              <w:t>2. Akurasi Lokasi Fisik Presisi</w:t>
              <w:br/>
            </w:r>
            <w:r>
              <w:rPr>
                <w:rFonts w:ascii="Arial" w:hAnsi="Arial"/>
                <w:color w:val="334155"/>
                <w:sz w:val="19"/>
              </w:rPr>
              <w:t>Menyediakan sistem pengalamatan lokasi fisik arsip secara bertingkat: Lemari Rak -&gt; Box Dus -&gt; Map Pembungkus. Petugas pencari dapat langsung mengidentifikasi letak persis lemari dan box berkas tanpa meraba-raba.</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top w:val="none"/>
              <w:left w:val="single" w:sz="24" w:space="0" w:color="059669"/>
              <w:bottom w:val="none"/>
              <w:right w:val="none"/>
            </w:tcBorders>
          </w:tcPr>
          <w:p>
            <w:pPr>
              <w:spacing w:before="80" w:after="40"/>
            </w:pPr>
            <w:r>
              <w:rPr>
                <w:rFonts w:ascii="Arial" w:hAnsi="Arial"/>
                <w:b/>
                <w:color w:val="0F172A"/>
                <w:sz w:val="20"/>
              </w:rPr>
              <w:t>3. Pelacakan Sirkulasi &amp; Akuntabilitas</w:t>
              <w:br/>
            </w:r>
            <w:r>
              <w:rPr>
                <w:rFonts w:ascii="Arial" w:hAnsi="Arial"/>
                <w:color w:val="334155"/>
                <w:sz w:val="19"/>
              </w:rPr>
              <w:t>Mendokumentasikan seluruh riwayat peminjaman dokumen fisik secara ketat berdasarkan nama peminjam dan divisi, menghasilkan rekam jejak digital yang siap dipertanggungjawabkan dalam audit berkala.</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top w:val="none"/>
              <w:left w:val="single" w:sz="24" w:space="0" w:color="059669"/>
              <w:bottom w:val="none"/>
              <w:right w:val="none"/>
            </w:tcBorders>
          </w:tcPr>
          <w:p>
            <w:pPr>
              <w:spacing w:before="80" w:after="40"/>
            </w:pPr>
            <w:r>
              <w:rPr>
                <w:rFonts w:ascii="Arial" w:hAnsi="Arial"/>
                <w:b/>
                <w:color w:val="0F172A"/>
                <w:sz w:val="20"/>
              </w:rPr>
              <w:t>4. Penyederhanaan Wewenang Kearsipan</w:t>
              <w:br/>
            </w:r>
            <w:r>
              <w:rPr>
                <w:rFonts w:ascii="Arial" w:hAnsi="Arial"/>
                <w:color w:val="334155"/>
                <w:sz w:val="19"/>
              </w:rPr>
              <w:t>Penyatuan peran operasional dan verifikasi menjadi peran tunggal (ADMIN) guna meminimalisasi hambatan birokrasi, mempercepat audit internal, serta menjaga kelancaran pengunggahan berkas secara mandiri.</w:t>
            </w:r>
          </w:p>
        </w:tc>
      </w:tr>
    </w:tbl>
    <w:p>
      <w:pPr>
        <w:spacing w:before="0" w:after="160"/>
      </w:pPr>
    </w:p>
    <w:p>
      <w:pPr>
        <w:pStyle w:val="Heading1"/>
        <w:keepNext/>
        <w:spacing w:before="360" w:after="120"/>
      </w:pPr>
      <w:r>
        <w:rPr>
          <w:rFonts w:ascii="Arial" w:hAnsi="Arial"/>
          <w:b/>
          <w:i w:val="0"/>
          <w:color w:val="0F172A"/>
          <w:sz w:val="36"/>
        </w:rPr>
        <w:t>3. Manajemen Peran Pengguna (User Roles &amp; Permissions)</w:t>
      </w:r>
    </w:p>
    <w:p>
      <w:pPr>
        <w:spacing w:before="0" w:after="120" w:line="276" w:lineRule="auto"/>
      </w:pPr>
      <w:r>
        <w:rPr>
          <w:rFonts w:ascii="Arial" w:hAnsi="Arial"/>
          <w:b w:val="0"/>
          <w:i w:val="0"/>
          <w:color w:val="334155"/>
          <w:sz w:val="20"/>
        </w:rPr>
        <w:t>Untuk efisiensi alur kerja operasional departemen kearsipan, sistem ini disederhanakan dengan menerapkan satu peran utama tunggal (Single Role) untuk seluruh pengguna yang berwenang:</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20" w:type="dxa"/>
              <w:bottom w:w="120" w:type="dxa"/>
              <w:left w:w="150" w:type="dxa"/>
              <w:right w:w="150" w:type="dxa"/>
            </w:tcMar>
          </w:tcPr>
          <w:p>
            <w:pPr>
              <w:jc w:val="left"/>
            </w:pPr>
            <w:r>
              <w:rPr>
                <w:rFonts w:ascii="Arial" w:hAnsi="Arial"/>
                <w:b/>
                <w:color w:val="FFFFFF"/>
                <w:sz w:val="20"/>
              </w:rPr>
              <w:t>Peran (Role)</w:t>
            </w:r>
          </w:p>
        </w:tc>
        <w:tc>
          <w:tcPr>
            <w:tcW w:type="dxa" w:w="2880"/>
            <w:shd w:fill="0F172A"/>
            <w:tcMar>
              <w:top w:w="120" w:type="dxa"/>
              <w:bottom w:w="120" w:type="dxa"/>
              <w:left w:w="150" w:type="dxa"/>
              <w:right w:w="150" w:type="dxa"/>
            </w:tcMar>
          </w:tcPr>
          <w:p>
            <w:pPr>
              <w:jc w:val="left"/>
            </w:pPr>
            <w:r>
              <w:rPr>
                <w:rFonts w:ascii="Arial" w:hAnsi="Arial"/>
                <w:b/>
                <w:color w:val="FFFFFF"/>
                <w:sz w:val="20"/>
              </w:rPr>
              <w:t>Deskripsi Kerja</w:t>
            </w:r>
          </w:p>
        </w:tc>
        <w:tc>
          <w:tcPr>
            <w:tcW w:type="dxa" w:w="4320"/>
            <w:shd w:fill="0F172A"/>
            <w:tcMar>
              <w:top w:w="120" w:type="dxa"/>
              <w:bottom w:w="120" w:type="dxa"/>
              <w:left w:w="150" w:type="dxa"/>
              <w:right w:w="150" w:type="dxa"/>
            </w:tcMar>
          </w:tcPr>
          <w:p>
            <w:pPr>
              <w:jc w:val="left"/>
            </w:pPr>
            <w:r>
              <w:rPr>
                <w:rFonts w:ascii="Arial" w:hAnsi="Arial"/>
                <w:b/>
                <w:color w:val="FFFFFF"/>
                <w:sz w:val="20"/>
              </w:rPr>
              <w:t>Hak Akses Fitur Utama</w:t>
            </w:r>
          </w:p>
        </w:tc>
      </w:tr>
      <w:tr>
        <w:tc>
          <w:tcPr>
            <w:tcW w:type="dxa" w:w="2160"/>
            <w:shd w:fill="FFFFFF"/>
            <w:tcMar>
              <w:top w:w="100" w:type="dxa"/>
              <w:bottom w:w="100" w:type="dxa"/>
              <w:left w:w="150" w:type="dxa"/>
              <w:right w:w="150" w:type="dxa"/>
            </w:tcMar>
          </w:tcPr>
          <w:p>
            <w:r>
              <w:rPr>
                <w:rFonts w:ascii="Arial" w:hAnsi="Arial"/>
                <w:color w:val="334155"/>
                <w:sz w:val="18"/>
              </w:rPr>
              <w:t>ADMIN</w:t>
            </w:r>
          </w:p>
        </w:tc>
        <w:tc>
          <w:tcPr>
            <w:tcW w:type="dxa" w:w="2880"/>
            <w:shd w:fill="FFFFFF"/>
            <w:tcMar>
              <w:top w:w="100" w:type="dxa"/>
              <w:bottom w:w="100" w:type="dxa"/>
              <w:left w:w="150" w:type="dxa"/>
              <w:right w:w="150" w:type="dxa"/>
            </w:tcMar>
          </w:tcPr>
          <w:p>
            <w:r>
              <w:rPr>
                <w:rFonts w:ascii="Arial" w:hAnsi="Arial"/>
                <w:color w:val="334155"/>
                <w:sz w:val="18"/>
              </w:rPr>
              <w:t>Petugas staf kearsipan &amp; Administrator TI Utama.</w:t>
            </w:r>
          </w:p>
        </w:tc>
        <w:tc>
          <w:tcPr>
            <w:tcW w:type="dxa" w:w="4320"/>
            <w:shd w:fill="FFFFFF"/>
            <w:tcMar>
              <w:top w:w="100" w:type="dxa"/>
              <w:bottom w:w="100" w:type="dxa"/>
              <w:left w:w="150" w:type="dxa"/>
              <w:right w:w="150" w:type="dxa"/>
            </w:tcMar>
          </w:tcPr>
          <w:p>
            <w:r>
              <w:rPr>
                <w:rFonts w:ascii="Arial" w:hAnsi="Arial"/>
                <w:color w:val="334155"/>
                <w:sz w:val="18"/>
              </w:rPr>
              <w:t>Akses modifikasi penuh (CRUD) untuk seluruh entitas (User, Divisi, Rak, Dus, Pembungkus, Nota, dan Sirkulasi Peminjaman). Berwenang melakukan input tunggal/massal nota, mengunggah scan file, menandai verifikasi validasi berkas, serta melakukan pencatatan peminjaman/pengembalian fisik dokumen.</w:t>
            </w:r>
          </w:p>
        </w:tc>
      </w:tr>
    </w:tbl>
    <w:p>
      <w:pPr>
        <w:spacing w:before="0" w:after="120"/>
      </w:pPr>
    </w:p>
    <w:p>
      <w:pPr>
        <w:pStyle w:val="Heading1"/>
        <w:keepNext/>
        <w:spacing w:before="360" w:after="120"/>
      </w:pPr>
      <w:r>
        <w:rPr>
          <w:rFonts w:ascii="Arial" w:hAnsi="Arial"/>
          <w:b/>
          <w:i w:val="0"/>
          <w:color w:val="0F172A"/>
          <w:sz w:val="36"/>
        </w:rPr>
        <w:t>4. Arsitektur Data &amp; Model Skema Relasional</w:t>
      </w:r>
    </w:p>
    <w:p>
      <w:pPr>
        <w:spacing w:before="0" w:after="120" w:line="276" w:lineRule="auto"/>
      </w:pPr>
      <w:r>
        <w:rPr>
          <w:rFonts w:ascii="Arial" w:hAnsi="Arial"/>
          <w:b w:val="0"/>
          <w:i w:val="0"/>
          <w:color w:val="334155"/>
          <w:sz w:val="20"/>
        </w:rPr>
        <w:t>Sistem menggunakan PostgreSQL sebagai sistem manajemen database relasional, yang dihubungkan melalui Prisma ORM dengan rancangan relasi penuh (Fully Relational) sebagai berikut:</w:t>
      </w:r>
    </w:p>
    <w:p>
      <w:pPr>
        <w:pStyle w:val="Heading2"/>
        <w:keepNext/>
        <w:spacing w:before="280" w:after="80"/>
      </w:pPr>
      <w:r>
        <w:rPr>
          <w:rFonts w:ascii="Arial" w:hAnsi="Arial"/>
          <w:b/>
          <w:i w:val="0"/>
          <w:color w:val="059669"/>
          <w:sz w:val="28"/>
        </w:rPr>
        <w:t>4.1 Model Pengguna (User)</w:t>
      </w:r>
    </w:p>
    <w:p>
      <w:pPr>
        <w:spacing w:before="0" w:after="120" w:line="276" w:lineRule="auto"/>
      </w:pPr>
      <w:r>
        <w:rPr>
          <w:rFonts w:ascii="Arial" w:hAnsi="Arial"/>
          <w:b w:val="0"/>
          <w:i w:val="0"/>
          <w:color w:val="334155"/>
          <w:sz w:val="20"/>
        </w:rPr>
        <w:t>Menyimpan data otentikasi, nama lengkap petugas, sandi terenkripsi, serta penugasan peran (seluruhnya ADMIN).</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50" w:type="dxa"/>
              <w:right w:w="150" w:type="dxa"/>
            </w:tcMar>
          </w:tcPr>
          <w:p>
            <w:pPr>
              <w:jc w:val="left"/>
            </w:pPr>
            <w:r>
              <w:rPr>
                <w:rFonts w:ascii="Arial" w:hAnsi="Arial"/>
                <w:b/>
                <w:color w:val="FFFFFF"/>
                <w:sz w:val="20"/>
              </w:rPr>
              <w:t>Field</w:t>
            </w:r>
          </w:p>
        </w:tc>
        <w:tc>
          <w:tcPr>
            <w:tcW w:type="dxa" w:w="2160"/>
            <w:shd w:fill="0F172A"/>
            <w:tcMar>
              <w:top w:w="120" w:type="dxa"/>
              <w:bottom w:w="120" w:type="dxa"/>
              <w:left w:w="150" w:type="dxa"/>
              <w:right w:w="150" w:type="dxa"/>
            </w:tcMar>
          </w:tcPr>
          <w:p>
            <w:pPr>
              <w:jc w:val="left"/>
            </w:pPr>
            <w:r>
              <w:rPr>
                <w:rFonts w:ascii="Arial" w:hAnsi="Arial"/>
                <w:b/>
                <w:color w:val="FFFFFF"/>
                <w:sz w:val="20"/>
              </w:rPr>
              <w:t>Tipe Data</w:t>
            </w:r>
          </w:p>
        </w:tc>
        <w:tc>
          <w:tcPr>
            <w:tcW w:type="dxa" w:w="1728"/>
            <w:shd w:fill="0F172A"/>
            <w:tcMar>
              <w:top w:w="120" w:type="dxa"/>
              <w:bottom w:w="120" w:type="dxa"/>
              <w:left w:w="150" w:type="dxa"/>
              <w:right w:w="150" w:type="dxa"/>
            </w:tcMar>
          </w:tcPr>
          <w:p>
            <w:pPr>
              <w:jc w:val="left"/>
            </w:pPr>
            <w:r>
              <w:rPr>
                <w:rFonts w:ascii="Arial" w:hAnsi="Arial"/>
                <w:b/>
                <w:color w:val="FFFFFF"/>
                <w:sz w:val="20"/>
              </w:rPr>
              <w:t>Sifat</w:t>
            </w:r>
          </w:p>
        </w:tc>
        <w:tc>
          <w:tcPr>
            <w:tcW w:type="dxa" w:w="2880"/>
            <w:shd w:fill="0F172A"/>
            <w:tcMar>
              <w:top w:w="120" w:type="dxa"/>
              <w:bottom w:w="120" w:type="dxa"/>
              <w:left w:w="150" w:type="dxa"/>
              <w:right w:w="150" w:type="dxa"/>
            </w:tcMar>
          </w:tcPr>
          <w:p>
            <w:pPr>
              <w:jc w:val="left"/>
            </w:pPr>
            <w:r>
              <w:rPr>
                <w:rFonts w:ascii="Arial" w:hAnsi="Arial"/>
                <w:b/>
                <w:color w:val="FFFFFF"/>
                <w:sz w:val="20"/>
              </w:rPr>
              <w:t>Keterangan</w:t>
            </w:r>
          </w:p>
        </w:tc>
      </w:tr>
      <w:tr>
        <w:tc>
          <w:tcPr>
            <w:tcW w:type="dxa" w:w="2592"/>
            <w:shd w:fill="FFFFFF"/>
            <w:tcMar>
              <w:top w:w="100" w:type="dxa"/>
              <w:bottom w:w="100" w:type="dxa"/>
              <w:left w:w="150" w:type="dxa"/>
              <w:right w:w="150" w:type="dxa"/>
            </w:tcMar>
          </w:tcPr>
          <w:p>
            <w:r>
              <w:rPr>
                <w:rFonts w:ascii="Arial" w:hAnsi="Arial"/>
                <w:color w:val="334155"/>
                <w:sz w:val="18"/>
              </w:rPr>
              <w:t>id</w:t>
            </w:r>
          </w:p>
        </w:tc>
        <w:tc>
          <w:tcPr>
            <w:tcW w:type="dxa" w:w="2160"/>
            <w:shd w:fill="FFFFFF"/>
            <w:tcMar>
              <w:top w:w="100" w:type="dxa"/>
              <w:bottom w:w="100" w:type="dxa"/>
              <w:left w:w="150" w:type="dxa"/>
              <w:right w:w="150" w:type="dxa"/>
            </w:tcMar>
          </w:tcPr>
          <w:p>
            <w:r>
              <w:rPr>
                <w:rFonts w:ascii="Arial" w:hAnsi="Arial"/>
                <w:color w:val="334155"/>
                <w:sz w:val="18"/>
              </w:rPr>
              <w:t>String (UUID)</w:t>
            </w:r>
          </w:p>
        </w:tc>
        <w:tc>
          <w:tcPr>
            <w:tcW w:type="dxa" w:w="1728"/>
            <w:shd w:fill="FFFFFF"/>
            <w:tcMar>
              <w:top w:w="100" w:type="dxa"/>
              <w:bottom w:w="100" w:type="dxa"/>
              <w:left w:w="150" w:type="dxa"/>
              <w:right w:w="150" w:type="dxa"/>
            </w:tcMar>
          </w:tcPr>
          <w:p>
            <w:r>
              <w:rPr>
                <w:rFonts w:ascii="Arial" w:hAnsi="Arial"/>
                <w:color w:val="334155"/>
                <w:sz w:val="18"/>
              </w:rPr>
              <w:t>Primary Key</w:t>
            </w:r>
          </w:p>
        </w:tc>
        <w:tc>
          <w:tcPr>
            <w:tcW w:type="dxa" w:w="2880"/>
            <w:shd w:fill="FFFFFF"/>
            <w:tcMar>
              <w:top w:w="100" w:type="dxa"/>
              <w:bottom w:w="100" w:type="dxa"/>
              <w:left w:w="150" w:type="dxa"/>
              <w:right w:w="150" w:type="dxa"/>
            </w:tcMar>
          </w:tcPr>
          <w:p>
            <w:r>
              <w:rPr>
                <w:rFonts w:ascii="Arial" w:hAnsi="Arial"/>
                <w:color w:val="334155"/>
                <w:sz w:val="18"/>
              </w:rPr>
              <w:t>Identifikator unik user.</w:t>
            </w:r>
          </w:p>
        </w:tc>
      </w:tr>
      <w:tr>
        <w:tc>
          <w:tcPr>
            <w:tcW w:type="dxa" w:w="2592"/>
            <w:shd w:fill="F8FAFC"/>
            <w:tcMar>
              <w:top w:w="100" w:type="dxa"/>
              <w:bottom w:w="100" w:type="dxa"/>
              <w:left w:w="150" w:type="dxa"/>
              <w:right w:w="150" w:type="dxa"/>
            </w:tcMar>
          </w:tcPr>
          <w:p>
            <w:r>
              <w:rPr>
                <w:rFonts w:ascii="Arial" w:hAnsi="Arial"/>
                <w:color w:val="334155"/>
                <w:sz w:val="18"/>
              </w:rPr>
              <w:t>username</w:t>
            </w:r>
          </w:p>
        </w:tc>
        <w:tc>
          <w:tcPr>
            <w:tcW w:type="dxa" w:w="2160"/>
            <w:shd w:fill="F8FAFC"/>
            <w:tcMar>
              <w:top w:w="100" w:type="dxa"/>
              <w:bottom w:w="100" w:type="dxa"/>
              <w:left w:w="150" w:type="dxa"/>
              <w:right w:w="150" w:type="dxa"/>
            </w:tcMar>
          </w:tcPr>
          <w:p>
            <w:r>
              <w:rPr>
                <w:rFonts w:ascii="Arial" w:hAnsi="Arial"/>
                <w:color w:val="334155"/>
                <w:sz w:val="18"/>
              </w:rPr>
              <w:t>String</w:t>
            </w:r>
          </w:p>
        </w:tc>
        <w:tc>
          <w:tcPr>
            <w:tcW w:type="dxa" w:w="1728"/>
            <w:shd w:fill="F8FAFC"/>
            <w:tcMar>
              <w:top w:w="100" w:type="dxa"/>
              <w:bottom w:w="100" w:type="dxa"/>
              <w:left w:w="150" w:type="dxa"/>
              <w:right w:w="150" w:type="dxa"/>
            </w:tcMar>
          </w:tcPr>
          <w:p>
            <w:r>
              <w:rPr>
                <w:rFonts w:ascii="Arial" w:hAnsi="Arial"/>
                <w:color w:val="334155"/>
                <w:sz w:val="18"/>
              </w:rPr>
              <w:t>Unique</w:t>
            </w:r>
          </w:p>
        </w:tc>
        <w:tc>
          <w:tcPr>
            <w:tcW w:type="dxa" w:w="2880"/>
            <w:shd w:fill="F8FAFC"/>
            <w:tcMar>
              <w:top w:w="100" w:type="dxa"/>
              <w:bottom w:w="100" w:type="dxa"/>
              <w:left w:w="150" w:type="dxa"/>
              <w:right w:w="150" w:type="dxa"/>
            </w:tcMar>
          </w:tcPr>
          <w:p>
            <w:r>
              <w:rPr>
                <w:rFonts w:ascii="Arial" w:hAnsi="Arial"/>
                <w:color w:val="334155"/>
                <w:sz w:val="18"/>
              </w:rPr>
              <w:t>Identitas untuk masuk/login.</w:t>
            </w:r>
          </w:p>
        </w:tc>
      </w:tr>
      <w:tr>
        <w:tc>
          <w:tcPr>
            <w:tcW w:type="dxa" w:w="2592"/>
            <w:shd w:fill="FFFFFF"/>
            <w:tcMar>
              <w:top w:w="100" w:type="dxa"/>
              <w:bottom w:w="100" w:type="dxa"/>
              <w:left w:w="150" w:type="dxa"/>
              <w:right w:w="150" w:type="dxa"/>
            </w:tcMar>
          </w:tcPr>
          <w:p>
            <w:r>
              <w:rPr>
                <w:rFonts w:ascii="Arial" w:hAnsi="Arial"/>
                <w:color w:val="334155"/>
                <w:sz w:val="18"/>
              </w:rPr>
              <w:t>name</w:t>
            </w:r>
          </w:p>
        </w:tc>
        <w:tc>
          <w:tcPr>
            <w:tcW w:type="dxa" w:w="2160"/>
            <w:shd w:fill="FFFFFF"/>
            <w:tcMar>
              <w:top w:w="100" w:type="dxa"/>
              <w:bottom w:w="100" w:type="dxa"/>
              <w:left w:w="150" w:type="dxa"/>
              <w:right w:w="150" w:type="dxa"/>
            </w:tcMar>
          </w:tcPr>
          <w:p>
            <w:r>
              <w:rPr>
                <w:rFonts w:ascii="Arial" w:hAnsi="Arial"/>
                <w:color w:val="334155"/>
                <w:sz w:val="18"/>
              </w:rPr>
              <w:t>String</w:t>
            </w:r>
          </w:p>
        </w:tc>
        <w:tc>
          <w:tcPr>
            <w:tcW w:type="dxa" w:w="1728"/>
            <w:shd w:fill="FFFFFF"/>
            <w:tcMar>
              <w:top w:w="100" w:type="dxa"/>
              <w:bottom w:w="100" w:type="dxa"/>
              <w:left w:w="150" w:type="dxa"/>
              <w:right w:w="150" w:type="dxa"/>
            </w:tcMar>
          </w:tcPr>
          <w:p>
            <w:r>
              <w:rPr>
                <w:rFonts w:ascii="Arial" w:hAnsi="Arial"/>
                <w:color w:val="334155"/>
                <w:sz w:val="18"/>
              </w:rPr>
              <w:t>Required</w:t>
            </w:r>
          </w:p>
        </w:tc>
        <w:tc>
          <w:tcPr>
            <w:tcW w:type="dxa" w:w="2880"/>
            <w:shd w:fill="FFFFFF"/>
            <w:tcMar>
              <w:top w:w="100" w:type="dxa"/>
              <w:bottom w:w="100" w:type="dxa"/>
              <w:left w:w="150" w:type="dxa"/>
              <w:right w:w="150" w:type="dxa"/>
            </w:tcMar>
          </w:tcPr>
          <w:p>
            <w:r>
              <w:rPr>
                <w:rFonts w:ascii="Arial" w:hAnsi="Arial"/>
                <w:color w:val="334155"/>
                <w:sz w:val="18"/>
              </w:rPr>
              <w:t>Nama lengkap petugas.</w:t>
            </w:r>
          </w:p>
        </w:tc>
      </w:tr>
      <w:tr>
        <w:tc>
          <w:tcPr>
            <w:tcW w:type="dxa" w:w="2592"/>
            <w:shd w:fill="F8FAFC"/>
            <w:tcMar>
              <w:top w:w="100" w:type="dxa"/>
              <w:bottom w:w="100" w:type="dxa"/>
              <w:left w:w="150" w:type="dxa"/>
              <w:right w:w="150" w:type="dxa"/>
            </w:tcMar>
          </w:tcPr>
          <w:p>
            <w:r>
              <w:rPr>
                <w:rFonts w:ascii="Arial" w:hAnsi="Arial"/>
                <w:color w:val="334155"/>
                <w:sz w:val="18"/>
              </w:rPr>
              <w:t>role</w:t>
            </w:r>
          </w:p>
        </w:tc>
        <w:tc>
          <w:tcPr>
            <w:tcW w:type="dxa" w:w="2160"/>
            <w:shd w:fill="F8FAFC"/>
            <w:tcMar>
              <w:top w:w="100" w:type="dxa"/>
              <w:bottom w:w="100" w:type="dxa"/>
              <w:left w:w="150" w:type="dxa"/>
              <w:right w:w="150" w:type="dxa"/>
            </w:tcMar>
          </w:tcPr>
          <w:p>
            <w:r>
              <w:rPr>
                <w:rFonts w:ascii="Arial" w:hAnsi="Arial"/>
                <w:color w:val="334155"/>
                <w:sz w:val="18"/>
              </w:rPr>
              <w:t>String</w:t>
            </w:r>
          </w:p>
        </w:tc>
        <w:tc>
          <w:tcPr>
            <w:tcW w:type="dxa" w:w="1728"/>
            <w:shd w:fill="F8FAFC"/>
            <w:tcMar>
              <w:top w:w="100" w:type="dxa"/>
              <w:bottom w:w="100" w:type="dxa"/>
              <w:left w:w="150" w:type="dxa"/>
              <w:right w:w="150" w:type="dxa"/>
            </w:tcMar>
          </w:tcPr>
          <w:p>
            <w:r>
              <w:rPr>
                <w:rFonts w:ascii="Arial" w:hAnsi="Arial"/>
                <w:color w:val="334155"/>
                <w:sz w:val="18"/>
              </w:rPr>
              <w:t>Default: ADMIN</w:t>
            </w:r>
          </w:p>
        </w:tc>
        <w:tc>
          <w:tcPr>
            <w:tcW w:type="dxa" w:w="2880"/>
            <w:shd w:fill="F8FAFC"/>
            <w:tcMar>
              <w:top w:w="100" w:type="dxa"/>
              <w:bottom w:w="100" w:type="dxa"/>
              <w:left w:w="150" w:type="dxa"/>
              <w:right w:w="150" w:type="dxa"/>
            </w:tcMar>
          </w:tcPr>
          <w:p>
            <w:r>
              <w:rPr>
                <w:rFonts w:ascii="Arial" w:hAnsi="Arial"/>
                <w:color w:val="334155"/>
                <w:sz w:val="18"/>
              </w:rPr>
              <w:t>Peran akses: ADMIN (Unified).</w:t>
            </w:r>
          </w:p>
        </w:tc>
      </w:tr>
      <w:tr>
        <w:tc>
          <w:tcPr>
            <w:tcW w:type="dxa" w:w="2592"/>
            <w:shd w:fill="FFFFFF"/>
            <w:tcMar>
              <w:top w:w="100" w:type="dxa"/>
              <w:bottom w:w="100" w:type="dxa"/>
              <w:left w:w="150" w:type="dxa"/>
              <w:right w:w="150" w:type="dxa"/>
            </w:tcMar>
          </w:tcPr>
          <w:p>
            <w:r>
              <w:rPr>
                <w:rFonts w:ascii="Arial" w:hAnsi="Arial"/>
                <w:color w:val="334155"/>
                <w:sz w:val="18"/>
              </w:rPr>
              <w:t>passwordHash</w:t>
            </w:r>
          </w:p>
        </w:tc>
        <w:tc>
          <w:tcPr>
            <w:tcW w:type="dxa" w:w="2160"/>
            <w:shd w:fill="FFFFFF"/>
            <w:tcMar>
              <w:top w:w="100" w:type="dxa"/>
              <w:bottom w:w="100" w:type="dxa"/>
              <w:left w:w="150" w:type="dxa"/>
              <w:right w:w="150" w:type="dxa"/>
            </w:tcMar>
          </w:tcPr>
          <w:p>
            <w:r>
              <w:rPr>
                <w:rFonts w:ascii="Arial" w:hAnsi="Arial"/>
                <w:color w:val="334155"/>
                <w:sz w:val="18"/>
              </w:rPr>
              <w:t>String</w:t>
            </w:r>
          </w:p>
        </w:tc>
        <w:tc>
          <w:tcPr>
            <w:tcW w:type="dxa" w:w="1728"/>
            <w:shd w:fill="FFFFFF"/>
            <w:tcMar>
              <w:top w:w="100" w:type="dxa"/>
              <w:bottom w:w="100" w:type="dxa"/>
              <w:left w:w="150" w:type="dxa"/>
              <w:right w:w="150" w:type="dxa"/>
            </w:tcMar>
          </w:tcPr>
          <w:p>
            <w:r>
              <w:rPr>
                <w:rFonts w:ascii="Arial" w:hAnsi="Arial"/>
                <w:color w:val="334155"/>
                <w:sz w:val="18"/>
              </w:rPr>
              <w:t>Required</w:t>
            </w:r>
          </w:p>
        </w:tc>
        <w:tc>
          <w:tcPr>
            <w:tcW w:type="dxa" w:w="2880"/>
            <w:shd w:fill="FFFFFF"/>
            <w:tcMar>
              <w:top w:w="100" w:type="dxa"/>
              <w:bottom w:w="100" w:type="dxa"/>
              <w:left w:w="150" w:type="dxa"/>
              <w:right w:w="150" w:type="dxa"/>
            </w:tcMar>
          </w:tcPr>
          <w:p>
            <w:r>
              <w:rPr>
                <w:rFonts w:ascii="Arial" w:hAnsi="Arial"/>
                <w:color w:val="334155"/>
                <w:sz w:val="18"/>
              </w:rPr>
              <w:t>Kata sandi yang telah di-hash dengan Bcrypt.</w:t>
            </w:r>
          </w:p>
        </w:tc>
      </w:tr>
      <w:tr>
        <w:tc>
          <w:tcPr>
            <w:tcW w:type="dxa" w:w="2592"/>
            <w:shd w:fill="F8FAFC"/>
            <w:tcMar>
              <w:top w:w="100" w:type="dxa"/>
              <w:bottom w:w="100" w:type="dxa"/>
              <w:left w:w="150" w:type="dxa"/>
              <w:right w:w="150" w:type="dxa"/>
            </w:tcMar>
          </w:tcPr>
          <w:p>
            <w:r>
              <w:rPr>
                <w:rFonts w:ascii="Arial" w:hAnsi="Arial"/>
                <w:color w:val="334155"/>
                <w:sz w:val="18"/>
              </w:rPr>
              <w:t>createdAt / updatedAt</w:t>
            </w:r>
          </w:p>
        </w:tc>
        <w:tc>
          <w:tcPr>
            <w:tcW w:type="dxa" w:w="2160"/>
            <w:shd w:fill="F8FAFC"/>
            <w:tcMar>
              <w:top w:w="100" w:type="dxa"/>
              <w:bottom w:w="100" w:type="dxa"/>
              <w:left w:w="150" w:type="dxa"/>
              <w:right w:w="150" w:type="dxa"/>
            </w:tcMar>
          </w:tcPr>
          <w:p>
            <w:r>
              <w:rPr>
                <w:rFonts w:ascii="Arial" w:hAnsi="Arial"/>
                <w:color w:val="334155"/>
                <w:sz w:val="18"/>
              </w:rPr>
              <w:t>DateTime</w:t>
            </w:r>
          </w:p>
        </w:tc>
        <w:tc>
          <w:tcPr>
            <w:tcW w:type="dxa" w:w="1728"/>
            <w:shd w:fill="F8FAFC"/>
            <w:tcMar>
              <w:top w:w="100" w:type="dxa"/>
              <w:bottom w:w="100" w:type="dxa"/>
              <w:left w:w="150" w:type="dxa"/>
              <w:right w:w="150" w:type="dxa"/>
            </w:tcMar>
          </w:tcPr>
          <w:p>
            <w:r>
              <w:rPr>
                <w:rFonts w:ascii="Arial" w:hAnsi="Arial"/>
                <w:color w:val="334155"/>
                <w:sz w:val="18"/>
              </w:rPr>
              <w:t>Required</w:t>
            </w:r>
          </w:p>
        </w:tc>
        <w:tc>
          <w:tcPr>
            <w:tcW w:type="dxa" w:w="2880"/>
            <w:shd w:fill="F8FAFC"/>
            <w:tcMar>
              <w:top w:w="100" w:type="dxa"/>
              <w:bottom w:w="100" w:type="dxa"/>
              <w:left w:w="150" w:type="dxa"/>
              <w:right w:w="150" w:type="dxa"/>
            </w:tcMar>
          </w:tcPr>
          <w:p>
            <w:r>
              <w:rPr>
                <w:rFonts w:ascii="Arial" w:hAnsi="Arial"/>
                <w:color w:val="334155"/>
                <w:sz w:val="18"/>
              </w:rPr>
              <w:t>Stempel waktu pembuatan &amp; perubahan data.</w:t>
            </w:r>
          </w:p>
        </w:tc>
      </w:tr>
    </w:tbl>
    <w:p>
      <w:pPr>
        <w:spacing w:before="0" w:after="120"/>
      </w:pPr>
    </w:p>
    <w:p>
      <w:pPr>
        <w:pStyle w:val="Heading2"/>
        <w:keepNext/>
        <w:spacing w:before="280" w:after="80"/>
      </w:pPr>
      <w:r>
        <w:rPr>
          <w:rFonts w:ascii="Arial" w:hAnsi="Arial"/>
          <w:b/>
          <w:i w:val="0"/>
          <w:color w:val="059669"/>
          <w:sz w:val="28"/>
        </w:rPr>
        <w:t>4.2 Model Struktur Lokasi Penyimpanan Fisik</w:t>
      </w:r>
    </w:p>
    <w:p>
      <w:pPr>
        <w:spacing w:before="0" w:after="120" w:line="276" w:lineRule="auto"/>
      </w:pPr>
      <w:r>
        <w:rPr>
          <w:rFonts w:ascii="Arial" w:hAnsi="Arial"/>
          <w:b w:val="0"/>
          <w:i w:val="0"/>
          <w:color w:val="334155"/>
          <w:sz w:val="20"/>
        </w:rPr>
        <w:t>Lokasi fisik dokumen dimodelkan secara terstruktur untuk menjamin kemudahan pencarian arsip kertas. Model ini terdiri atas 3 tingkatan utama:</w:t>
      </w:r>
    </w:p>
    <w:p>
      <w:pPr>
        <w:pStyle w:val="ListBullet"/>
        <w:spacing w:before="0" w:after="60" w:line="276" w:lineRule="auto"/>
      </w:pPr>
      <w:r>
        <w:rPr>
          <w:rFonts w:ascii="Arial" w:hAnsi="Arial"/>
          <w:b/>
          <w:i w:val="0"/>
          <w:color w:val="334155"/>
          <w:sz w:val="20"/>
        </w:rPr>
        <w:t xml:space="preserve">Tingkat 1: </w:t>
      </w:r>
      <w:r>
        <w:rPr>
          <w:rFonts w:ascii="Arial" w:hAnsi="Arial"/>
          <w:b w:val="0"/>
          <w:i w:val="0"/>
          <w:color w:val="334155"/>
          <w:sz w:val="20"/>
        </w:rPr>
        <w:t>Rak (Lemari): Baris penyimpanan tingkat teratas. Terkait secara satu-ke-banyak dengan Dus.</w:t>
      </w:r>
    </w:p>
    <w:p>
      <w:pPr>
        <w:pStyle w:val="ListBullet"/>
        <w:spacing w:before="0" w:after="60" w:line="276" w:lineRule="auto"/>
      </w:pPr>
      <w:r>
        <w:rPr>
          <w:rFonts w:ascii="Arial" w:hAnsi="Arial"/>
          <w:b/>
          <w:i w:val="0"/>
          <w:color w:val="334155"/>
          <w:sz w:val="20"/>
        </w:rPr>
        <w:t xml:space="preserve">Tingkat 2: </w:t>
      </w:r>
      <w:r>
        <w:rPr>
          <w:rFonts w:ascii="Arial" w:hAnsi="Arial"/>
          <w:b w:val="0"/>
          <w:i w:val="0"/>
          <w:color w:val="334155"/>
          <w:sz w:val="20"/>
        </w:rPr>
        <w:t>Dus (Box Arsip): Kotak penyimpanan tingkat menengah yang merujuk pada 'rakId' (onDelete: SetNull).</w:t>
      </w:r>
    </w:p>
    <w:p>
      <w:pPr>
        <w:pStyle w:val="ListBullet"/>
        <w:spacing w:before="0" w:after="60" w:line="276" w:lineRule="auto"/>
      </w:pPr>
      <w:r>
        <w:rPr>
          <w:rFonts w:ascii="Arial" w:hAnsi="Arial"/>
          <w:b/>
          <w:i w:val="0"/>
          <w:color w:val="334155"/>
          <w:sz w:val="20"/>
        </w:rPr>
        <w:t xml:space="preserve">Tingkat 3: </w:t>
      </w:r>
      <w:r>
        <w:rPr>
          <w:rFonts w:ascii="Arial" w:hAnsi="Arial"/>
          <w:b w:val="0"/>
          <w:i w:val="0"/>
          <w:color w:val="334155"/>
          <w:sz w:val="20"/>
        </w:rPr>
        <w:t>Pembungkus (Map/Folder Berkas): Bundel dokumen terkecil yang merujuk pada 'dusId' (onDelete: SetNull). Setiap dokumen Nota wajib merujuk ke tingkat Pembungkus ini.</w:t>
      </w:r>
    </w:p>
    <w:p>
      <w:pPr>
        <w:pStyle w:val="Heading2"/>
        <w:keepNext/>
        <w:spacing w:before="280" w:after="80"/>
      </w:pPr>
      <w:r>
        <w:rPr>
          <w:rFonts w:ascii="Arial" w:hAnsi="Arial"/>
          <w:b/>
          <w:i w:val="0"/>
          <w:color w:val="059669"/>
          <w:sz w:val="28"/>
        </w:rPr>
        <w:t>4.3 Model Nota (Arsip Bukti Pemindahbukuan)</w:t>
      </w:r>
    </w:p>
    <w:p>
      <w:pPr>
        <w:spacing w:before="0" w:after="120" w:line="276" w:lineRule="auto"/>
      </w:pPr>
      <w:r>
        <w:rPr>
          <w:rFonts w:ascii="Arial" w:hAnsi="Arial"/>
          <w:b w:val="0"/>
          <w:i w:val="0"/>
          <w:color w:val="334155"/>
          <w:sz w:val="20"/>
        </w:rPr>
        <w:t>Model inti penyimpan detail arsip transaksi pemindahbukuan keuangan perbankan.</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50" w:type="dxa"/>
              <w:right w:w="150" w:type="dxa"/>
            </w:tcMar>
          </w:tcPr>
          <w:p>
            <w:pPr>
              <w:jc w:val="left"/>
            </w:pPr>
            <w:r>
              <w:rPr>
                <w:rFonts w:ascii="Arial" w:hAnsi="Arial"/>
                <w:b/>
                <w:color w:val="FFFFFF"/>
                <w:sz w:val="20"/>
              </w:rPr>
              <w:t>Field</w:t>
            </w:r>
          </w:p>
        </w:tc>
        <w:tc>
          <w:tcPr>
            <w:tcW w:type="dxa" w:w="2160"/>
            <w:shd w:fill="0F172A"/>
            <w:tcMar>
              <w:top w:w="120" w:type="dxa"/>
              <w:bottom w:w="120" w:type="dxa"/>
              <w:left w:w="150" w:type="dxa"/>
              <w:right w:w="150" w:type="dxa"/>
            </w:tcMar>
          </w:tcPr>
          <w:p>
            <w:pPr>
              <w:jc w:val="left"/>
            </w:pPr>
            <w:r>
              <w:rPr>
                <w:rFonts w:ascii="Arial" w:hAnsi="Arial"/>
                <w:b/>
                <w:color w:val="FFFFFF"/>
                <w:sz w:val="20"/>
              </w:rPr>
              <w:t>Tipe Data</w:t>
            </w:r>
          </w:p>
        </w:tc>
        <w:tc>
          <w:tcPr>
            <w:tcW w:type="dxa" w:w="1728"/>
            <w:shd w:fill="0F172A"/>
            <w:tcMar>
              <w:top w:w="120" w:type="dxa"/>
              <w:bottom w:w="120" w:type="dxa"/>
              <w:left w:w="150" w:type="dxa"/>
              <w:right w:w="150" w:type="dxa"/>
            </w:tcMar>
          </w:tcPr>
          <w:p>
            <w:pPr>
              <w:jc w:val="left"/>
            </w:pPr>
            <w:r>
              <w:rPr>
                <w:rFonts w:ascii="Arial" w:hAnsi="Arial"/>
                <w:b/>
                <w:color w:val="FFFFFF"/>
                <w:sz w:val="20"/>
              </w:rPr>
              <w:t>Sifat</w:t>
            </w:r>
          </w:p>
        </w:tc>
        <w:tc>
          <w:tcPr>
            <w:tcW w:type="dxa" w:w="2880"/>
            <w:shd w:fill="0F172A"/>
            <w:tcMar>
              <w:top w:w="120" w:type="dxa"/>
              <w:bottom w:w="120" w:type="dxa"/>
              <w:left w:w="150" w:type="dxa"/>
              <w:right w:w="150" w:type="dxa"/>
            </w:tcMar>
          </w:tcPr>
          <w:p>
            <w:pPr>
              <w:jc w:val="left"/>
            </w:pPr>
            <w:r>
              <w:rPr>
                <w:rFonts w:ascii="Arial" w:hAnsi="Arial"/>
                <w:b/>
                <w:color w:val="FFFFFF"/>
                <w:sz w:val="20"/>
              </w:rPr>
              <w:t>Keterangan</w:t>
            </w:r>
          </w:p>
        </w:tc>
      </w:tr>
      <w:tr>
        <w:tc>
          <w:tcPr>
            <w:tcW w:type="dxa" w:w="2592"/>
            <w:shd w:fill="FFFFFF"/>
            <w:tcMar>
              <w:top w:w="100" w:type="dxa"/>
              <w:bottom w:w="100" w:type="dxa"/>
              <w:left w:w="150" w:type="dxa"/>
              <w:right w:w="150" w:type="dxa"/>
            </w:tcMar>
          </w:tcPr>
          <w:p>
            <w:r>
              <w:rPr>
                <w:rFonts w:ascii="Arial" w:hAnsi="Arial"/>
                <w:color w:val="334155"/>
                <w:sz w:val="18"/>
              </w:rPr>
              <w:t>id</w:t>
            </w:r>
          </w:p>
        </w:tc>
        <w:tc>
          <w:tcPr>
            <w:tcW w:type="dxa" w:w="2160"/>
            <w:shd w:fill="FFFFFF"/>
            <w:tcMar>
              <w:top w:w="100" w:type="dxa"/>
              <w:bottom w:w="100" w:type="dxa"/>
              <w:left w:w="150" w:type="dxa"/>
              <w:right w:w="150" w:type="dxa"/>
            </w:tcMar>
          </w:tcPr>
          <w:p>
            <w:r>
              <w:rPr>
                <w:rFonts w:ascii="Arial" w:hAnsi="Arial"/>
                <w:color w:val="334155"/>
                <w:sz w:val="18"/>
              </w:rPr>
              <w:t>String (UUID)</w:t>
            </w:r>
          </w:p>
        </w:tc>
        <w:tc>
          <w:tcPr>
            <w:tcW w:type="dxa" w:w="1728"/>
            <w:shd w:fill="FFFFFF"/>
            <w:tcMar>
              <w:top w:w="100" w:type="dxa"/>
              <w:bottom w:w="100" w:type="dxa"/>
              <w:left w:w="150" w:type="dxa"/>
              <w:right w:w="150" w:type="dxa"/>
            </w:tcMar>
          </w:tcPr>
          <w:p>
            <w:r>
              <w:rPr>
                <w:rFonts w:ascii="Arial" w:hAnsi="Arial"/>
                <w:color w:val="334155"/>
                <w:sz w:val="18"/>
              </w:rPr>
              <w:t>Primary Key</w:t>
            </w:r>
          </w:p>
        </w:tc>
        <w:tc>
          <w:tcPr>
            <w:tcW w:type="dxa" w:w="2880"/>
            <w:shd w:fill="FFFFFF"/>
            <w:tcMar>
              <w:top w:w="100" w:type="dxa"/>
              <w:bottom w:w="100" w:type="dxa"/>
              <w:left w:w="150" w:type="dxa"/>
              <w:right w:w="150" w:type="dxa"/>
            </w:tcMar>
          </w:tcPr>
          <w:p>
            <w:r>
              <w:rPr>
                <w:rFonts w:ascii="Arial" w:hAnsi="Arial"/>
                <w:color w:val="334155"/>
                <w:sz w:val="18"/>
              </w:rPr>
              <w:t>Identifikator unik berkas nota.</w:t>
            </w:r>
          </w:p>
        </w:tc>
      </w:tr>
      <w:tr>
        <w:tc>
          <w:tcPr>
            <w:tcW w:type="dxa" w:w="2592"/>
            <w:shd w:fill="F8FAFC"/>
            <w:tcMar>
              <w:top w:w="100" w:type="dxa"/>
              <w:bottom w:w="100" w:type="dxa"/>
              <w:left w:w="150" w:type="dxa"/>
              <w:right w:w="150" w:type="dxa"/>
            </w:tcMar>
          </w:tcPr>
          <w:p>
            <w:r>
              <w:rPr>
                <w:rFonts w:ascii="Arial" w:hAnsi="Arial"/>
                <w:color w:val="334155"/>
                <w:sz w:val="18"/>
              </w:rPr>
              <w:t>nomorBukti</w:t>
            </w:r>
          </w:p>
        </w:tc>
        <w:tc>
          <w:tcPr>
            <w:tcW w:type="dxa" w:w="2160"/>
            <w:shd w:fill="F8FAFC"/>
            <w:tcMar>
              <w:top w:w="100" w:type="dxa"/>
              <w:bottom w:w="100" w:type="dxa"/>
              <w:left w:w="150" w:type="dxa"/>
              <w:right w:w="150" w:type="dxa"/>
            </w:tcMar>
          </w:tcPr>
          <w:p>
            <w:r>
              <w:rPr>
                <w:rFonts w:ascii="Arial" w:hAnsi="Arial"/>
                <w:color w:val="334155"/>
                <w:sz w:val="18"/>
              </w:rPr>
              <w:t>String</w:t>
            </w:r>
          </w:p>
        </w:tc>
        <w:tc>
          <w:tcPr>
            <w:tcW w:type="dxa" w:w="1728"/>
            <w:shd w:fill="F8FAFC"/>
            <w:tcMar>
              <w:top w:w="100" w:type="dxa"/>
              <w:bottom w:w="100" w:type="dxa"/>
              <w:left w:w="150" w:type="dxa"/>
              <w:right w:w="150" w:type="dxa"/>
            </w:tcMar>
          </w:tcPr>
          <w:p>
            <w:r>
              <w:rPr>
                <w:rFonts w:ascii="Arial" w:hAnsi="Arial"/>
                <w:color w:val="334155"/>
                <w:sz w:val="18"/>
              </w:rPr>
              <w:t>Unique</w:t>
            </w:r>
          </w:p>
        </w:tc>
        <w:tc>
          <w:tcPr>
            <w:tcW w:type="dxa" w:w="2880"/>
            <w:shd w:fill="F8FAFC"/>
            <w:tcMar>
              <w:top w:w="100" w:type="dxa"/>
              <w:bottom w:w="100" w:type="dxa"/>
              <w:left w:w="150" w:type="dxa"/>
              <w:right w:w="150" w:type="dxa"/>
            </w:tcMar>
          </w:tcPr>
          <w:p>
            <w:r>
              <w:rPr>
                <w:rFonts w:ascii="Arial" w:hAnsi="Arial"/>
                <w:color w:val="334155"/>
                <w:sz w:val="18"/>
              </w:rPr>
              <w:t>Nomor referensi bukti transaksi bank.</w:t>
            </w:r>
          </w:p>
        </w:tc>
      </w:tr>
      <w:tr>
        <w:tc>
          <w:tcPr>
            <w:tcW w:type="dxa" w:w="2592"/>
            <w:shd w:fill="FFFFFF"/>
            <w:tcMar>
              <w:top w:w="100" w:type="dxa"/>
              <w:bottom w:w="100" w:type="dxa"/>
              <w:left w:w="150" w:type="dxa"/>
              <w:right w:w="150" w:type="dxa"/>
            </w:tcMar>
          </w:tcPr>
          <w:p>
            <w:r>
              <w:rPr>
                <w:rFonts w:ascii="Arial" w:hAnsi="Arial"/>
                <w:color w:val="334155"/>
                <w:sz w:val="18"/>
              </w:rPr>
              <w:t>tanggalBukti</w:t>
            </w:r>
          </w:p>
        </w:tc>
        <w:tc>
          <w:tcPr>
            <w:tcW w:type="dxa" w:w="2160"/>
            <w:shd w:fill="FFFFFF"/>
            <w:tcMar>
              <w:top w:w="100" w:type="dxa"/>
              <w:bottom w:w="100" w:type="dxa"/>
              <w:left w:w="150" w:type="dxa"/>
              <w:right w:w="150" w:type="dxa"/>
            </w:tcMar>
          </w:tcPr>
          <w:p>
            <w:r>
              <w:rPr>
                <w:rFonts w:ascii="Arial" w:hAnsi="Arial"/>
                <w:color w:val="334155"/>
                <w:sz w:val="18"/>
              </w:rPr>
              <w:t>DateTime</w:t>
            </w:r>
          </w:p>
        </w:tc>
        <w:tc>
          <w:tcPr>
            <w:tcW w:type="dxa" w:w="1728"/>
            <w:shd w:fill="FFFFFF"/>
            <w:tcMar>
              <w:top w:w="100" w:type="dxa"/>
              <w:bottom w:w="100" w:type="dxa"/>
              <w:left w:w="150" w:type="dxa"/>
              <w:right w:w="150" w:type="dxa"/>
            </w:tcMar>
          </w:tcPr>
          <w:p>
            <w:r>
              <w:rPr>
                <w:rFonts w:ascii="Arial" w:hAnsi="Arial"/>
                <w:color w:val="334155"/>
                <w:sz w:val="18"/>
              </w:rPr>
              <w:t>Required</w:t>
            </w:r>
          </w:p>
        </w:tc>
        <w:tc>
          <w:tcPr>
            <w:tcW w:type="dxa" w:w="2880"/>
            <w:shd w:fill="FFFFFF"/>
            <w:tcMar>
              <w:top w:w="100" w:type="dxa"/>
              <w:bottom w:w="100" w:type="dxa"/>
              <w:left w:w="150" w:type="dxa"/>
              <w:right w:w="150" w:type="dxa"/>
            </w:tcMar>
          </w:tcPr>
          <w:p>
            <w:r>
              <w:rPr>
                <w:rFonts w:ascii="Arial" w:hAnsi="Arial"/>
                <w:color w:val="334155"/>
                <w:sz w:val="18"/>
              </w:rPr>
              <w:t>Tanggal asli terjadinya transaksi.</w:t>
            </w:r>
          </w:p>
        </w:tc>
      </w:tr>
      <w:tr>
        <w:tc>
          <w:tcPr>
            <w:tcW w:type="dxa" w:w="2592"/>
            <w:shd w:fill="F8FAFC"/>
            <w:tcMar>
              <w:top w:w="100" w:type="dxa"/>
              <w:bottom w:w="100" w:type="dxa"/>
              <w:left w:w="150" w:type="dxa"/>
              <w:right w:w="150" w:type="dxa"/>
            </w:tcMar>
          </w:tcPr>
          <w:p>
            <w:r>
              <w:rPr>
                <w:rFonts w:ascii="Arial" w:hAnsi="Arial"/>
                <w:color w:val="334155"/>
                <w:sz w:val="18"/>
              </w:rPr>
              <w:t>hari / tanggal / bulan / tahun</w:t>
            </w:r>
          </w:p>
        </w:tc>
        <w:tc>
          <w:tcPr>
            <w:tcW w:type="dxa" w:w="2160"/>
            <w:shd w:fill="F8FAFC"/>
            <w:tcMar>
              <w:top w:w="100" w:type="dxa"/>
              <w:bottom w:w="100" w:type="dxa"/>
              <w:left w:w="150" w:type="dxa"/>
              <w:right w:w="150" w:type="dxa"/>
            </w:tcMar>
          </w:tcPr>
          <w:p>
            <w:r>
              <w:rPr>
                <w:rFonts w:ascii="Arial" w:hAnsi="Arial"/>
                <w:color w:val="334155"/>
                <w:sz w:val="18"/>
              </w:rPr>
              <w:t>String / Int</w:t>
            </w:r>
          </w:p>
        </w:tc>
        <w:tc>
          <w:tcPr>
            <w:tcW w:type="dxa" w:w="1728"/>
            <w:shd w:fill="F8FAFC"/>
            <w:tcMar>
              <w:top w:w="100" w:type="dxa"/>
              <w:bottom w:w="100" w:type="dxa"/>
              <w:left w:w="150" w:type="dxa"/>
              <w:right w:w="150" w:type="dxa"/>
            </w:tcMar>
          </w:tcPr>
          <w:p>
            <w:r>
              <w:rPr>
                <w:rFonts w:ascii="Arial" w:hAnsi="Arial"/>
                <w:color w:val="334155"/>
                <w:sz w:val="18"/>
              </w:rPr>
              <w:t>Required</w:t>
            </w:r>
          </w:p>
        </w:tc>
        <w:tc>
          <w:tcPr>
            <w:tcW w:type="dxa" w:w="2880"/>
            <w:shd w:fill="F8FAFC"/>
            <w:tcMar>
              <w:top w:w="100" w:type="dxa"/>
              <w:bottom w:w="100" w:type="dxa"/>
              <w:left w:w="150" w:type="dxa"/>
              <w:right w:w="150" w:type="dxa"/>
            </w:tcMar>
          </w:tcPr>
          <w:p>
            <w:r>
              <w:rPr>
                <w:rFonts w:ascii="Arial" w:hAnsi="Arial"/>
                <w:color w:val="334155"/>
                <w:sz w:val="18"/>
              </w:rPr>
              <w:t>Ekstraksi tanggal bukti untuk penyaringan cepat.</w:t>
            </w:r>
          </w:p>
        </w:tc>
      </w:tr>
      <w:tr>
        <w:tc>
          <w:tcPr>
            <w:tcW w:type="dxa" w:w="2592"/>
            <w:shd w:fill="FFFFFF"/>
            <w:tcMar>
              <w:top w:w="100" w:type="dxa"/>
              <w:bottom w:w="100" w:type="dxa"/>
              <w:left w:w="150" w:type="dxa"/>
              <w:right w:w="150" w:type="dxa"/>
            </w:tcMar>
          </w:tcPr>
          <w:p>
            <w:r>
              <w:rPr>
                <w:rFonts w:ascii="Arial" w:hAnsi="Arial"/>
                <w:color w:val="334155"/>
                <w:sz w:val="18"/>
              </w:rPr>
              <w:t>nominal</w:t>
            </w:r>
          </w:p>
        </w:tc>
        <w:tc>
          <w:tcPr>
            <w:tcW w:type="dxa" w:w="2160"/>
            <w:shd w:fill="FFFFFF"/>
            <w:tcMar>
              <w:top w:w="100" w:type="dxa"/>
              <w:bottom w:w="100" w:type="dxa"/>
              <w:left w:w="150" w:type="dxa"/>
              <w:right w:w="150" w:type="dxa"/>
            </w:tcMar>
          </w:tcPr>
          <w:p>
            <w:r>
              <w:rPr>
                <w:rFonts w:ascii="Arial" w:hAnsi="Arial"/>
                <w:color w:val="334155"/>
                <w:sz w:val="18"/>
              </w:rPr>
              <w:t>Decimal(15,2)</w:t>
            </w:r>
          </w:p>
        </w:tc>
        <w:tc>
          <w:tcPr>
            <w:tcW w:type="dxa" w:w="1728"/>
            <w:shd w:fill="FFFFFF"/>
            <w:tcMar>
              <w:top w:w="100" w:type="dxa"/>
              <w:bottom w:w="100" w:type="dxa"/>
              <w:left w:w="150" w:type="dxa"/>
              <w:right w:w="150" w:type="dxa"/>
            </w:tcMar>
          </w:tcPr>
          <w:p>
            <w:r>
              <w:rPr>
                <w:rFonts w:ascii="Arial" w:hAnsi="Arial"/>
                <w:color w:val="334155"/>
                <w:sz w:val="18"/>
              </w:rPr>
              <w:t>Required</w:t>
            </w:r>
          </w:p>
        </w:tc>
        <w:tc>
          <w:tcPr>
            <w:tcW w:type="dxa" w:w="2880"/>
            <w:shd w:fill="FFFFFF"/>
            <w:tcMar>
              <w:top w:w="100" w:type="dxa"/>
              <w:bottom w:w="100" w:type="dxa"/>
              <w:left w:w="150" w:type="dxa"/>
              <w:right w:w="150" w:type="dxa"/>
            </w:tcMar>
          </w:tcPr>
          <w:p>
            <w:r>
              <w:rPr>
                <w:rFonts w:ascii="Arial" w:hAnsi="Arial"/>
                <w:color w:val="334155"/>
                <w:sz w:val="18"/>
              </w:rPr>
              <w:t>Nilai transaksi dalam Rupiah (IDR).</w:t>
            </w:r>
          </w:p>
        </w:tc>
      </w:tr>
      <w:tr>
        <w:tc>
          <w:tcPr>
            <w:tcW w:type="dxa" w:w="2592"/>
            <w:shd w:fill="F8FAFC"/>
            <w:tcMar>
              <w:top w:w="100" w:type="dxa"/>
              <w:bottom w:w="100" w:type="dxa"/>
              <w:left w:w="150" w:type="dxa"/>
              <w:right w:w="150" w:type="dxa"/>
            </w:tcMar>
          </w:tcPr>
          <w:p>
            <w:r>
              <w:rPr>
                <w:rFonts w:ascii="Arial" w:hAnsi="Arial"/>
                <w:color w:val="334155"/>
                <w:sz w:val="18"/>
              </w:rPr>
              <w:t>filePath</w:t>
            </w:r>
          </w:p>
        </w:tc>
        <w:tc>
          <w:tcPr>
            <w:tcW w:type="dxa" w:w="2160"/>
            <w:shd w:fill="F8FAFC"/>
            <w:tcMar>
              <w:top w:w="100" w:type="dxa"/>
              <w:bottom w:w="100" w:type="dxa"/>
              <w:left w:w="150" w:type="dxa"/>
              <w:right w:w="150" w:type="dxa"/>
            </w:tcMar>
          </w:tcPr>
          <w:p>
            <w:r>
              <w:rPr>
                <w:rFonts w:ascii="Arial" w:hAnsi="Arial"/>
                <w:color w:val="334155"/>
                <w:sz w:val="18"/>
              </w:rPr>
              <w:t>String</w:t>
            </w:r>
          </w:p>
        </w:tc>
        <w:tc>
          <w:tcPr>
            <w:tcW w:type="dxa" w:w="1728"/>
            <w:shd w:fill="F8FAFC"/>
            <w:tcMar>
              <w:top w:w="100" w:type="dxa"/>
              <w:bottom w:w="100" w:type="dxa"/>
              <w:left w:w="150" w:type="dxa"/>
              <w:right w:w="150" w:type="dxa"/>
            </w:tcMar>
          </w:tcPr>
          <w:p>
            <w:r>
              <w:rPr>
                <w:rFonts w:ascii="Arial" w:hAnsi="Arial"/>
                <w:color w:val="334155"/>
                <w:sz w:val="18"/>
              </w:rPr>
              <w:t>Optional</w:t>
            </w:r>
          </w:p>
        </w:tc>
        <w:tc>
          <w:tcPr>
            <w:tcW w:type="dxa" w:w="2880"/>
            <w:shd w:fill="F8FAFC"/>
            <w:tcMar>
              <w:top w:w="100" w:type="dxa"/>
              <w:bottom w:w="100" w:type="dxa"/>
              <w:left w:w="150" w:type="dxa"/>
              <w:right w:w="150" w:type="dxa"/>
            </w:tcMar>
          </w:tcPr>
          <w:p>
            <w:r>
              <w:rPr>
                <w:rFonts w:ascii="Arial" w:hAnsi="Arial"/>
                <w:color w:val="334155"/>
                <w:sz w:val="18"/>
              </w:rPr>
              <w:t>Path file berkas scan PDF/gambar di server/public upload.</w:t>
            </w:r>
          </w:p>
        </w:tc>
      </w:tr>
      <w:tr>
        <w:tc>
          <w:tcPr>
            <w:tcW w:type="dxa" w:w="2592"/>
            <w:shd w:fill="FFFFFF"/>
            <w:tcMar>
              <w:top w:w="100" w:type="dxa"/>
              <w:bottom w:w="100" w:type="dxa"/>
              <w:left w:w="150" w:type="dxa"/>
              <w:right w:w="150" w:type="dxa"/>
            </w:tcMar>
          </w:tcPr>
          <w:p>
            <w:r>
              <w:rPr>
                <w:rFonts w:ascii="Arial" w:hAnsi="Arial"/>
                <w:color w:val="334155"/>
                <w:sz w:val="18"/>
              </w:rPr>
              <w:t>pembungkusId</w:t>
            </w:r>
          </w:p>
        </w:tc>
        <w:tc>
          <w:tcPr>
            <w:tcW w:type="dxa" w:w="2160"/>
            <w:shd w:fill="FFFFFF"/>
            <w:tcMar>
              <w:top w:w="100" w:type="dxa"/>
              <w:bottom w:w="100" w:type="dxa"/>
              <w:left w:w="150" w:type="dxa"/>
              <w:right w:w="150" w:type="dxa"/>
            </w:tcMar>
          </w:tcPr>
          <w:p>
            <w:r>
              <w:rPr>
                <w:rFonts w:ascii="Arial" w:hAnsi="Arial"/>
                <w:color w:val="334155"/>
                <w:sz w:val="18"/>
              </w:rPr>
              <w:t>String (UUID)</w:t>
            </w:r>
          </w:p>
        </w:tc>
        <w:tc>
          <w:tcPr>
            <w:tcW w:type="dxa" w:w="1728"/>
            <w:shd w:fill="FFFFFF"/>
            <w:tcMar>
              <w:top w:w="100" w:type="dxa"/>
              <w:bottom w:w="100" w:type="dxa"/>
              <w:left w:w="150" w:type="dxa"/>
              <w:right w:w="150" w:type="dxa"/>
            </w:tcMar>
          </w:tcPr>
          <w:p>
            <w:r>
              <w:rPr>
                <w:rFonts w:ascii="Arial" w:hAnsi="Arial"/>
                <w:color w:val="334155"/>
                <w:sz w:val="18"/>
              </w:rPr>
              <w:t>Foreign Key</w:t>
            </w:r>
          </w:p>
        </w:tc>
        <w:tc>
          <w:tcPr>
            <w:tcW w:type="dxa" w:w="2880"/>
            <w:shd w:fill="FFFFFF"/>
            <w:tcMar>
              <w:top w:w="100" w:type="dxa"/>
              <w:bottom w:w="100" w:type="dxa"/>
              <w:left w:w="150" w:type="dxa"/>
              <w:right w:w="150" w:type="dxa"/>
            </w:tcMar>
          </w:tcPr>
          <w:p>
            <w:r>
              <w:rPr>
                <w:rFonts w:ascii="Arial" w:hAnsi="Arial"/>
                <w:color w:val="334155"/>
                <w:sz w:val="18"/>
              </w:rPr>
              <w:t>Penghubung ke lokasi fisik Pembungkus.</w:t>
            </w:r>
          </w:p>
        </w:tc>
      </w:tr>
      <w:tr>
        <w:tc>
          <w:tcPr>
            <w:tcW w:type="dxa" w:w="2592"/>
            <w:shd w:fill="F8FAFC"/>
            <w:tcMar>
              <w:top w:w="100" w:type="dxa"/>
              <w:bottom w:w="100" w:type="dxa"/>
              <w:left w:w="150" w:type="dxa"/>
              <w:right w:w="150" w:type="dxa"/>
            </w:tcMar>
          </w:tcPr>
          <w:p>
            <w:r>
              <w:rPr>
                <w:rFonts w:ascii="Arial" w:hAnsi="Arial"/>
                <w:color w:val="334155"/>
                <w:sz w:val="18"/>
              </w:rPr>
              <w:t>userId</w:t>
            </w:r>
          </w:p>
        </w:tc>
        <w:tc>
          <w:tcPr>
            <w:tcW w:type="dxa" w:w="2160"/>
            <w:shd w:fill="F8FAFC"/>
            <w:tcMar>
              <w:top w:w="100" w:type="dxa"/>
              <w:bottom w:w="100" w:type="dxa"/>
              <w:left w:w="150" w:type="dxa"/>
              <w:right w:w="150" w:type="dxa"/>
            </w:tcMar>
          </w:tcPr>
          <w:p>
            <w:r>
              <w:rPr>
                <w:rFonts w:ascii="Arial" w:hAnsi="Arial"/>
                <w:color w:val="334155"/>
                <w:sz w:val="18"/>
              </w:rPr>
              <w:t>String (UUID)</w:t>
            </w:r>
          </w:p>
        </w:tc>
        <w:tc>
          <w:tcPr>
            <w:tcW w:type="dxa" w:w="1728"/>
            <w:shd w:fill="F8FAFC"/>
            <w:tcMar>
              <w:top w:w="100" w:type="dxa"/>
              <w:bottom w:w="100" w:type="dxa"/>
              <w:left w:w="150" w:type="dxa"/>
              <w:right w:w="150" w:type="dxa"/>
            </w:tcMar>
          </w:tcPr>
          <w:p>
            <w:r>
              <w:rPr>
                <w:rFonts w:ascii="Arial" w:hAnsi="Arial"/>
                <w:color w:val="334155"/>
                <w:sz w:val="18"/>
              </w:rPr>
              <w:t>Foreign Key</w:t>
            </w:r>
          </w:p>
        </w:tc>
        <w:tc>
          <w:tcPr>
            <w:tcW w:type="dxa" w:w="2880"/>
            <w:shd w:fill="F8FAFC"/>
            <w:tcMar>
              <w:top w:w="100" w:type="dxa"/>
              <w:bottom w:w="100" w:type="dxa"/>
              <w:left w:w="150" w:type="dxa"/>
              <w:right w:w="150" w:type="dxa"/>
            </w:tcMar>
          </w:tcPr>
          <w:p>
            <w:r>
              <w:rPr>
                <w:rFonts w:ascii="Arial" w:hAnsi="Arial"/>
                <w:color w:val="334155"/>
                <w:sz w:val="18"/>
              </w:rPr>
              <w:t>Penghubung ke User pembuat arsip.</w:t>
            </w:r>
          </w:p>
        </w:tc>
      </w:tr>
      <w:tr>
        <w:tc>
          <w:tcPr>
            <w:tcW w:type="dxa" w:w="2592"/>
            <w:shd w:fill="FFFFFF"/>
            <w:tcMar>
              <w:top w:w="100" w:type="dxa"/>
              <w:bottom w:w="100" w:type="dxa"/>
              <w:left w:w="150" w:type="dxa"/>
              <w:right w:w="150" w:type="dxa"/>
            </w:tcMar>
          </w:tcPr>
          <w:p>
            <w:r>
              <w:rPr>
                <w:rFonts w:ascii="Arial" w:hAnsi="Arial"/>
                <w:color w:val="334155"/>
                <w:sz w:val="18"/>
              </w:rPr>
              <w:t>isVerified</w:t>
            </w:r>
          </w:p>
        </w:tc>
        <w:tc>
          <w:tcPr>
            <w:tcW w:type="dxa" w:w="2160"/>
            <w:shd w:fill="FFFFFF"/>
            <w:tcMar>
              <w:top w:w="100" w:type="dxa"/>
              <w:bottom w:w="100" w:type="dxa"/>
              <w:left w:w="150" w:type="dxa"/>
              <w:right w:w="150" w:type="dxa"/>
            </w:tcMar>
          </w:tcPr>
          <w:p>
            <w:r>
              <w:rPr>
                <w:rFonts w:ascii="Arial" w:hAnsi="Arial"/>
                <w:color w:val="334155"/>
                <w:sz w:val="18"/>
              </w:rPr>
              <w:t>Boolean</w:t>
            </w:r>
          </w:p>
        </w:tc>
        <w:tc>
          <w:tcPr>
            <w:tcW w:type="dxa" w:w="1728"/>
            <w:shd w:fill="FFFFFF"/>
            <w:tcMar>
              <w:top w:w="100" w:type="dxa"/>
              <w:bottom w:w="100" w:type="dxa"/>
              <w:left w:w="150" w:type="dxa"/>
              <w:right w:w="150" w:type="dxa"/>
            </w:tcMar>
          </w:tcPr>
          <w:p>
            <w:r>
              <w:rPr>
                <w:rFonts w:ascii="Arial" w:hAnsi="Arial"/>
                <w:color w:val="334155"/>
                <w:sz w:val="18"/>
              </w:rPr>
              <w:t>Default: false</w:t>
            </w:r>
          </w:p>
        </w:tc>
        <w:tc>
          <w:tcPr>
            <w:tcW w:type="dxa" w:w="2880"/>
            <w:shd w:fill="FFFFFF"/>
            <w:tcMar>
              <w:top w:w="100" w:type="dxa"/>
              <w:bottom w:w="100" w:type="dxa"/>
              <w:left w:w="150" w:type="dxa"/>
              <w:right w:w="150" w:type="dxa"/>
            </w:tcMar>
          </w:tcPr>
          <w:p>
            <w:r>
              <w:rPr>
                <w:rFonts w:ascii="Arial" w:hAnsi="Arial"/>
                <w:color w:val="334155"/>
                <w:sz w:val="18"/>
              </w:rPr>
              <w:t>Status audit verifikasi oleh Admin.</w:t>
            </w:r>
          </w:p>
        </w:tc>
      </w:tr>
      <w:tr>
        <w:tc>
          <w:tcPr>
            <w:tcW w:type="dxa" w:w="2592"/>
            <w:shd w:fill="F8FAFC"/>
            <w:tcMar>
              <w:top w:w="100" w:type="dxa"/>
              <w:bottom w:w="100" w:type="dxa"/>
              <w:left w:w="150" w:type="dxa"/>
              <w:right w:w="150" w:type="dxa"/>
            </w:tcMar>
          </w:tcPr>
          <w:p>
            <w:r>
              <w:rPr>
                <w:rFonts w:ascii="Arial" w:hAnsi="Arial"/>
                <w:color w:val="334155"/>
                <w:sz w:val="18"/>
              </w:rPr>
              <w:t>verifiedById</w:t>
            </w:r>
          </w:p>
        </w:tc>
        <w:tc>
          <w:tcPr>
            <w:tcW w:type="dxa" w:w="2160"/>
            <w:shd w:fill="F8FAFC"/>
            <w:tcMar>
              <w:top w:w="100" w:type="dxa"/>
              <w:bottom w:w="100" w:type="dxa"/>
              <w:left w:w="150" w:type="dxa"/>
              <w:right w:w="150" w:type="dxa"/>
            </w:tcMar>
          </w:tcPr>
          <w:p>
            <w:r>
              <w:rPr>
                <w:rFonts w:ascii="Arial" w:hAnsi="Arial"/>
                <w:color w:val="334155"/>
                <w:sz w:val="18"/>
              </w:rPr>
              <w:t>String (UUID)</w:t>
            </w:r>
          </w:p>
        </w:tc>
        <w:tc>
          <w:tcPr>
            <w:tcW w:type="dxa" w:w="1728"/>
            <w:shd w:fill="F8FAFC"/>
            <w:tcMar>
              <w:top w:w="100" w:type="dxa"/>
              <w:bottom w:w="100" w:type="dxa"/>
              <w:left w:w="150" w:type="dxa"/>
              <w:right w:w="150" w:type="dxa"/>
            </w:tcMar>
          </w:tcPr>
          <w:p>
            <w:r>
              <w:rPr>
                <w:rFonts w:ascii="Arial" w:hAnsi="Arial"/>
                <w:color w:val="334155"/>
                <w:sz w:val="18"/>
              </w:rPr>
              <w:t>Foreign Key</w:t>
            </w:r>
          </w:p>
        </w:tc>
        <w:tc>
          <w:tcPr>
            <w:tcW w:type="dxa" w:w="2880"/>
            <w:shd w:fill="F8FAFC"/>
            <w:tcMar>
              <w:top w:w="100" w:type="dxa"/>
              <w:bottom w:w="100" w:type="dxa"/>
              <w:left w:w="150" w:type="dxa"/>
              <w:right w:w="150" w:type="dxa"/>
            </w:tcMar>
          </w:tcPr>
          <w:p>
            <w:r>
              <w:rPr>
                <w:rFonts w:ascii="Arial" w:hAnsi="Arial"/>
                <w:color w:val="334155"/>
                <w:sz w:val="18"/>
              </w:rPr>
              <w:t>Penghubung ke User (Admin) yang memverifikasi.</w:t>
            </w:r>
          </w:p>
        </w:tc>
      </w:tr>
      <w:tr>
        <w:tc>
          <w:tcPr>
            <w:tcW w:type="dxa" w:w="2592"/>
            <w:shd w:fill="FFFFFF"/>
            <w:tcMar>
              <w:top w:w="100" w:type="dxa"/>
              <w:bottom w:w="100" w:type="dxa"/>
              <w:left w:w="150" w:type="dxa"/>
              <w:right w:w="150" w:type="dxa"/>
            </w:tcMar>
          </w:tcPr>
          <w:p>
            <w:r>
              <w:rPr>
                <w:rFonts w:ascii="Arial" w:hAnsi="Arial"/>
                <w:color w:val="334155"/>
                <w:sz w:val="18"/>
              </w:rPr>
              <w:t>verifiedAt</w:t>
            </w:r>
          </w:p>
        </w:tc>
        <w:tc>
          <w:tcPr>
            <w:tcW w:type="dxa" w:w="2160"/>
            <w:shd w:fill="FFFFFF"/>
            <w:tcMar>
              <w:top w:w="100" w:type="dxa"/>
              <w:bottom w:w="100" w:type="dxa"/>
              <w:left w:w="150" w:type="dxa"/>
              <w:right w:w="150" w:type="dxa"/>
            </w:tcMar>
          </w:tcPr>
          <w:p>
            <w:r>
              <w:rPr>
                <w:rFonts w:ascii="Arial" w:hAnsi="Arial"/>
                <w:color w:val="334155"/>
                <w:sz w:val="18"/>
              </w:rPr>
              <w:t>DateTime</w:t>
            </w:r>
          </w:p>
        </w:tc>
        <w:tc>
          <w:tcPr>
            <w:tcW w:type="dxa" w:w="1728"/>
            <w:shd w:fill="FFFFFF"/>
            <w:tcMar>
              <w:top w:w="100" w:type="dxa"/>
              <w:bottom w:w="100" w:type="dxa"/>
              <w:left w:w="150" w:type="dxa"/>
              <w:right w:w="150" w:type="dxa"/>
            </w:tcMar>
          </w:tcPr>
          <w:p>
            <w:r>
              <w:rPr>
                <w:rFonts w:ascii="Arial" w:hAnsi="Arial"/>
                <w:color w:val="334155"/>
                <w:sz w:val="18"/>
              </w:rPr>
              <w:t>Optional</w:t>
            </w:r>
          </w:p>
        </w:tc>
        <w:tc>
          <w:tcPr>
            <w:tcW w:type="dxa" w:w="2880"/>
            <w:shd w:fill="FFFFFF"/>
            <w:tcMar>
              <w:top w:w="100" w:type="dxa"/>
              <w:bottom w:w="100" w:type="dxa"/>
              <w:left w:w="150" w:type="dxa"/>
              <w:right w:w="150" w:type="dxa"/>
            </w:tcMar>
          </w:tcPr>
          <w:p>
            <w:r>
              <w:rPr>
                <w:rFonts w:ascii="Arial" w:hAnsi="Arial"/>
                <w:color w:val="334155"/>
                <w:sz w:val="18"/>
              </w:rPr>
              <w:t>Waktu verifikasi dilakukan.</w:t>
            </w:r>
          </w:p>
        </w:tc>
      </w:tr>
    </w:tbl>
    <w:p>
      <w:pPr>
        <w:spacing w:before="0" w:after="120"/>
      </w:pPr>
    </w:p>
    <w:p>
      <w:pPr>
        <w:pStyle w:val="Heading2"/>
        <w:keepNext/>
        <w:spacing w:before="280" w:after="80"/>
      </w:pPr>
      <w:r>
        <w:rPr>
          <w:rFonts w:ascii="Arial" w:hAnsi="Arial"/>
          <w:b/>
          <w:i w:val="0"/>
          <w:color w:val="059669"/>
          <w:sz w:val="28"/>
        </w:rPr>
        <w:t>4.4 Model Peminjaman &amp; Divisi</w:t>
      </w:r>
    </w:p>
    <w:p>
      <w:pPr>
        <w:spacing w:before="0" w:after="120" w:line="276" w:lineRule="auto"/>
      </w:pPr>
      <w:r>
        <w:rPr>
          <w:rFonts w:ascii="Arial" w:hAnsi="Arial"/>
          <w:b w:val="0"/>
          <w:i w:val="0"/>
          <w:color w:val="334155"/>
          <w:sz w:val="20"/>
        </w:rPr>
        <w:t>Mencatat sirkulasi peminjaman dokumen fisik oleh unit kerja bank.</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50" w:type="dxa"/>
              <w:right w:w="150" w:type="dxa"/>
            </w:tcMar>
          </w:tcPr>
          <w:p>
            <w:pPr>
              <w:jc w:val="left"/>
            </w:pPr>
            <w:r>
              <w:rPr>
                <w:rFonts w:ascii="Arial" w:hAnsi="Arial"/>
                <w:b/>
                <w:color w:val="FFFFFF"/>
                <w:sz w:val="20"/>
              </w:rPr>
              <w:t>Field</w:t>
            </w:r>
          </w:p>
        </w:tc>
        <w:tc>
          <w:tcPr>
            <w:tcW w:type="dxa" w:w="2160"/>
            <w:shd w:fill="0F172A"/>
            <w:tcMar>
              <w:top w:w="120" w:type="dxa"/>
              <w:bottom w:w="120" w:type="dxa"/>
              <w:left w:w="150" w:type="dxa"/>
              <w:right w:w="150" w:type="dxa"/>
            </w:tcMar>
          </w:tcPr>
          <w:p>
            <w:pPr>
              <w:jc w:val="left"/>
            </w:pPr>
            <w:r>
              <w:rPr>
                <w:rFonts w:ascii="Arial" w:hAnsi="Arial"/>
                <w:b/>
                <w:color w:val="FFFFFF"/>
                <w:sz w:val="20"/>
              </w:rPr>
              <w:t>Tipe Data</w:t>
            </w:r>
          </w:p>
        </w:tc>
        <w:tc>
          <w:tcPr>
            <w:tcW w:type="dxa" w:w="1728"/>
            <w:shd w:fill="0F172A"/>
            <w:tcMar>
              <w:top w:w="120" w:type="dxa"/>
              <w:bottom w:w="120" w:type="dxa"/>
              <w:left w:w="150" w:type="dxa"/>
              <w:right w:w="150" w:type="dxa"/>
            </w:tcMar>
          </w:tcPr>
          <w:p>
            <w:pPr>
              <w:jc w:val="left"/>
            </w:pPr>
            <w:r>
              <w:rPr>
                <w:rFonts w:ascii="Arial" w:hAnsi="Arial"/>
                <w:b/>
                <w:color w:val="FFFFFF"/>
                <w:sz w:val="20"/>
              </w:rPr>
              <w:t>Sifat</w:t>
            </w:r>
          </w:p>
        </w:tc>
        <w:tc>
          <w:tcPr>
            <w:tcW w:type="dxa" w:w="2880"/>
            <w:shd w:fill="0F172A"/>
            <w:tcMar>
              <w:top w:w="120" w:type="dxa"/>
              <w:bottom w:w="120" w:type="dxa"/>
              <w:left w:w="150" w:type="dxa"/>
              <w:right w:w="150" w:type="dxa"/>
            </w:tcMar>
          </w:tcPr>
          <w:p>
            <w:pPr>
              <w:jc w:val="left"/>
            </w:pPr>
            <w:r>
              <w:rPr>
                <w:rFonts w:ascii="Arial" w:hAnsi="Arial"/>
                <w:b/>
                <w:color w:val="FFFFFF"/>
                <w:sz w:val="20"/>
              </w:rPr>
              <w:t>Keterangan</w:t>
            </w:r>
          </w:p>
        </w:tc>
      </w:tr>
      <w:tr>
        <w:tc>
          <w:tcPr>
            <w:tcW w:type="dxa" w:w="2592"/>
            <w:shd w:fill="FFFFFF"/>
            <w:tcMar>
              <w:top w:w="100" w:type="dxa"/>
              <w:bottom w:w="100" w:type="dxa"/>
              <w:left w:w="150" w:type="dxa"/>
              <w:right w:w="150" w:type="dxa"/>
            </w:tcMar>
          </w:tcPr>
          <w:p>
            <w:r>
              <w:rPr>
                <w:rFonts w:ascii="Arial" w:hAnsi="Arial"/>
                <w:color w:val="334155"/>
                <w:sz w:val="18"/>
              </w:rPr>
              <w:t>id</w:t>
            </w:r>
          </w:p>
        </w:tc>
        <w:tc>
          <w:tcPr>
            <w:tcW w:type="dxa" w:w="2160"/>
            <w:shd w:fill="FFFFFF"/>
            <w:tcMar>
              <w:top w:w="100" w:type="dxa"/>
              <w:bottom w:w="100" w:type="dxa"/>
              <w:left w:w="150" w:type="dxa"/>
              <w:right w:w="150" w:type="dxa"/>
            </w:tcMar>
          </w:tcPr>
          <w:p>
            <w:r>
              <w:rPr>
                <w:rFonts w:ascii="Arial" w:hAnsi="Arial"/>
                <w:color w:val="334155"/>
                <w:sz w:val="18"/>
              </w:rPr>
              <w:t>String (UUID)</w:t>
            </w:r>
          </w:p>
        </w:tc>
        <w:tc>
          <w:tcPr>
            <w:tcW w:type="dxa" w:w="1728"/>
            <w:shd w:fill="FFFFFF"/>
            <w:tcMar>
              <w:top w:w="100" w:type="dxa"/>
              <w:bottom w:w="100" w:type="dxa"/>
              <w:left w:w="150" w:type="dxa"/>
              <w:right w:w="150" w:type="dxa"/>
            </w:tcMar>
          </w:tcPr>
          <w:p>
            <w:r>
              <w:rPr>
                <w:rFonts w:ascii="Arial" w:hAnsi="Arial"/>
                <w:color w:val="334155"/>
                <w:sz w:val="18"/>
              </w:rPr>
              <w:t>Primary Key</w:t>
            </w:r>
          </w:p>
        </w:tc>
        <w:tc>
          <w:tcPr>
            <w:tcW w:type="dxa" w:w="2880"/>
            <w:shd w:fill="FFFFFF"/>
            <w:tcMar>
              <w:top w:w="100" w:type="dxa"/>
              <w:bottom w:w="100" w:type="dxa"/>
              <w:left w:w="150" w:type="dxa"/>
              <w:right w:w="150" w:type="dxa"/>
            </w:tcMar>
          </w:tcPr>
          <w:p>
            <w:r>
              <w:rPr>
                <w:rFonts w:ascii="Arial" w:hAnsi="Arial"/>
                <w:color w:val="334155"/>
                <w:sz w:val="18"/>
              </w:rPr>
              <w:t>Identifikator unik peminjaman.</w:t>
            </w:r>
          </w:p>
        </w:tc>
      </w:tr>
      <w:tr>
        <w:tc>
          <w:tcPr>
            <w:tcW w:type="dxa" w:w="2592"/>
            <w:shd w:fill="F8FAFC"/>
            <w:tcMar>
              <w:top w:w="100" w:type="dxa"/>
              <w:bottom w:w="100" w:type="dxa"/>
              <w:left w:w="150" w:type="dxa"/>
              <w:right w:w="150" w:type="dxa"/>
            </w:tcMar>
          </w:tcPr>
          <w:p>
            <w:r>
              <w:rPr>
                <w:rFonts w:ascii="Arial" w:hAnsi="Arial"/>
                <w:color w:val="334155"/>
                <w:sz w:val="18"/>
              </w:rPr>
              <w:t>notaId</w:t>
            </w:r>
          </w:p>
        </w:tc>
        <w:tc>
          <w:tcPr>
            <w:tcW w:type="dxa" w:w="2160"/>
            <w:shd w:fill="F8FAFC"/>
            <w:tcMar>
              <w:top w:w="100" w:type="dxa"/>
              <w:bottom w:w="100" w:type="dxa"/>
              <w:left w:w="150" w:type="dxa"/>
              <w:right w:w="150" w:type="dxa"/>
            </w:tcMar>
          </w:tcPr>
          <w:p>
            <w:r>
              <w:rPr>
                <w:rFonts w:ascii="Arial" w:hAnsi="Arial"/>
                <w:color w:val="334155"/>
                <w:sz w:val="18"/>
              </w:rPr>
              <w:t>String (UUID)</w:t>
            </w:r>
          </w:p>
        </w:tc>
        <w:tc>
          <w:tcPr>
            <w:tcW w:type="dxa" w:w="1728"/>
            <w:shd w:fill="F8FAFC"/>
            <w:tcMar>
              <w:top w:w="100" w:type="dxa"/>
              <w:bottom w:w="100" w:type="dxa"/>
              <w:left w:w="150" w:type="dxa"/>
              <w:right w:w="150" w:type="dxa"/>
            </w:tcMar>
          </w:tcPr>
          <w:p>
            <w:r>
              <w:rPr>
                <w:rFonts w:ascii="Arial" w:hAnsi="Arial"/>
                <w:color w:val="334155"/>
                <w:sz w:val="18"/>
              </w:rPr>
              <w:t>Foreign Key</w:t>
            </w:r>
          </w:p>
        </w:tc>
        <w:tc>
          <w:tcPr>
            <w:tcW w:type="dxa" w:w="2880"/>
            <w:shd w:fill="F8FAFC"/>
            <w:tcMar>
              <w:top w:w="100" w:type="dxa"/>
              <w:bottom w:w="100" w:type="dxa"/>
              <w:left w:w="150" w:type="dxa"/>
              <w:right w:w="150" w:type="dxa"/>
            </w:tcMar>
          </w:tcPr>
          <w:p>
            <w:r>
              <w:rPr>
                <w:rFonts w:ascii="Arial" w:hAnsi="Arial"/>
                <w:color w:val="334155"/>
                <w:sz w:val="18"/>
              </w:rPr>
              <w:t>Nota yang dipinjam (onDelete: Cascade).</w:t>
            </w:r>
          </w:p>
        </w:tc>
      </w:tr>
      <w:tr>
        <w:tc>
          <w:tcPr>
            <w:tcW w:type="dxa" w:w="2592"/>
            <w:shd w:fill="FFFFFF"/>
            <w:tcMar>
              <w:top w:w="100" w:type="dxa"/>
              <w:bottom w:w="100" w:type="dxa"/>
              <w:left w:w="150" w:type="dxa"/>
              <w:right w:w="150" w:type="dxa"/>
            </w:tcMar>
          </w:tcPr>
          <w:p>
            <w:r>
              <w:rPr>
                <w:rFonts w:ascii="Arial" w:hAnsi="Arial"/>
                <w:color w:val="334155"/>
                <w:sz w:val="18"/>
              </w:rPr>
              <w:t>namaPeminjam</w:t>
            </w:r>
          </w:p>
        </w:tc>
        <w:tc>
          <w:tcPr>
            <w:tcW w:type="dxa" w:w="2160"/>
            <w:shd w:fill="FFFFFF"/>
            <w:tcMar>
              <w:top w:w="100" w:type="dxa"/>
              <w:bottom w:w="100" w:type="dxa"/>
              <w:left w:w="150" w:type="dxa"/>
              <w:right w:w="150" w:type="dxa"/>
            </w:tcMar>
          </w:tcPr>
          <w:p>
            <w:r>
              <w:rPr>
                <w:rFonts w:ascii="Arial" w:hAnsi="Arial"/>
                <w:color w:val="334155"/>
                <w:sz w:val="18"/>
              </w:rPr>
              <w:t>String</w:t>
            </w:r>
          </w:p>
        </w:tc>
        <w:tc>
          <w:tcPr>
            <w:tcW w:type="dxa" w:w="1728"/>
            <w:shd w:fill="FFFFFF"/>
            <w:tcMar>
              <w:top w:w="100" w:type="dxa"/>
              <w:bottom w:w="100" w:type="dxa"/>
              <w:left w:w="150" w:type="dxa"/>
              <w:right w:w="150" w:type="dxa"/>
            </w:tcMar>
          </w:tcPr>
          <w:p>
            <w:r>
              <w:rPr>
                <w:rFonts w:ascii="Arial" w:hAnsi="Arial"/>
                <w:color w:val="334155"/>
                <w:sz w:val="18"/>
              </w:rPr>
              <w:t>Required</w:t>
            </w:r>
          </w:p>
        </w:tc>
        <w:tc>
          <w:tcPr>
            <w:tcW w:type="dxa" w:w="2880"/>
            <w:shd w:fill="FFFFFF"/>
            <w:tcMar>
              <w:top w:w="100" w:type="dxa"/>
              <w:bottom w:w="100" w:type="dxa"/>
              <w:left w:w="150" w:type="dxa"/>
              <w:right w:w="150" w:type="dxa"/>
            </w:tcMar>
          </w:tcPr>
          <w:p>
            <w:r>
              <w:rPr>
                <w:rFonts w:ascii="Arial" w:hAnsi="Arial"/>
                <w:color w:val="334155"/>
                <w:sz w:val="18"/>
              </w:rPr>
              <w:t>Nama staf yang meminjam.</w:t>
            </w:r>
          </w:p>
        </w:tc>
      </w:tr>
      <w:tr>
        <w:tc>
          <w:tcPr>
            <w:tcW w:type="dxa" w:w="2592"/>
            <w:shd w:fill="F8FAFC"/>
            <w:tcMar>
              <w:top w:w="100" w:type="dxa"/>
              <w:bottom w:w="100" w:type="dxa"/>
              <w:left w:w="150" w:type="dxa"/>
              <w:right w:w="150" w:type="dxa"/>
            </w:tcMar>
          </w:tcPr>
          <w:p>
            <w:r>
              <w:rPr>
                <w:rFonts w:ascii="Arial" w:hAnsi="Arial"/>
                <w:color w:val="334155"/>
                <w:sz w:val="18"/>
              </w:rPr>
              <w:t>divisiPeminjam</w:t>
            </w:r>
          </w:p>
        </w:tc>
        <w:tc>
          <w:tcPr>
            <w:tcW w:type="dxa" w:w="2160"/>
            <w:shd w:fill="F8FAFC"/>
            <w:tcMar>
              <w:top w:w="100" w:type="dxa"/>
              <w:bottom w:w="100" w:type="dxa"/>
              <w:left w:w="150" w:type="dxa"/>
              <w:right w:w="150" w:type="dxa"/>
            </w:tcMar>
          </w:tcPr>
          <w:p>
            <w:r>
              <w:rPr>
                <w:rFonts w:ascii="Arial" w:hAnsi="Arial"/>
                <w:color w:val="334155"/>
                <w:sz w:val="18"/>
              </w:rPr>
              <w:t>String</w:t>
            </w:r>
          </w:p>
        </w:tc>
        <w:tc>
          <w:tcPr>
            <w:tcW w:type="dxa" w:w="1728"/>
            <w:shd w:fill="F8FAFC"/>
            <w:tcMar>
              <w:top w:w="100" w:type="dxa"/>
              <w:bottom w:w="100" w:type="dxa"/>
              <w:left w:w="150" w:type="dxa"/>
              <w:right w:w="150" w:type="dxa"/>
            </w:tcMar>
          </w:tcPr>
          <w:p>
            <w:r>
              <w:rPr>
                <w:rFonts w:ascii="Arial" w:hAnsi="Arial"/>
                <w:color w:val="334155"/>
                <w:sz w:val="18"/>
              </w:rPr>
              <w:t>Required</w:t>
            </w:r>
          </w:p>
        </w:tc>
        <w:tc>
          <w:tcPr>
            <w:tcW w:type="dxa" w:w="2880"/>
            <w:shd w:fill="F8FAFC"/>
            <w:tcMar>
              <w:top w:w="100" w:type="dxa"/>
              <w:bottom w:w="100" w:type="dxa"/>
              <w:left w:w="150" w:type="dxa"/>
              <w:right w:w="150" w:type="dxa"/>
            </w:tcMar>
          </w:tcPr>
          <w:p>
            <w:r>
              <w:rPr>
                <w:rFonts w:ascii="Arial" w:hAnsi="Arial"/>
                <w:color w:val="334155"/>
                <w:sz w:val="18"/>
              </w:rPr>
              <w:t>Nama divisi peminjam (input manual / cadangan).</w:t>
            </w:r>
          </w:p>
        </w:tc>
      </w:tr>
      <w:tr>
        <w:tc>
          <w:tcPr>
            <w:tcW w:type="dxa" w:w="2592"/>
            <w:shd w:fill="FFFFFF"/>
            <w:tcMar>
              <w:top w:w="100" w:type="dxa"/>
              <w:bottom w:w="100" w:type="dxa"/>
              <w:left w:w="150" w:type="dxa"/>
              <w:right w:w="150" w:type="dxa"/>
            </w:tcMar>
          </w:tcPr>
          <w:p>
            <w:r>
              <w:rPr>
                <w:rFonts w:ascii="Arial" w:hAnsi="Arial"/>
                <w:color w:val="334155"/>
                <w:sz w:val="18"/>
              </w:rPr>
              <w:t>divisiId</w:t>
            </w:r>
          </w:p>
        </w:tc>
        <w:tc>
          <w:tcPr>
            <w:tcW w:type="dxa" w:w="2160"/>
            <w:shd w:fill="FFFFFF"/>
            <w:tcMar>
              <w:top w:w="100" w:type="dxa"/>
              <w:bottom w:w="100" w:type="dxa"/>
              <w:left w:w="150" w:type="dxa"/>
              <w:right w:w="150" w:type="dxa"/>
            </w:tcMar>
          </w:tcPr>
          <w:p>
            <w:r>
              <w:rPr>
                <w:rFonts w:ascii="Arial" w:hAnsi="Arial"/>
                <w:color w:val="334155"/>
                <w:sz w:val="18"/>
              </w:rPr>
              <w:t>String (UUID)</w:t>
            </w:r>
          </w:p>
        </w:tc>
        <w:tc>
          <w:tcPr>
            <w:tcW w:type="dxa" w:w="1728"/>
            <w:shd w:fill="FFFFFF"/>
            <w:tcMar>
              <w:top w:w="100" w:type="dxa"/>
              <w:bottom w:w="100" w:type="dxa"/>
              <w:left w:w="150" w:type="dxa"/>
              <w:right w:w="150" w:type="dxa"/>
            </w:tcMar>
          </w:tcPr>
          <w:p>
            <w:r>
              <w:rPr>
                <w:rFonts w:ascii="Arial" w:hAnsi="Arial"/>
                <w:color w:val="334155"/>
                <w:sz w:val="18"/>
              </w:rPr>
              <w:t>Foreign Key</w:t>
            </w:r>
          </w:p>
        </w:tc>
        <w:tc>
          <w:tcPr>
            <w:tcW w:type="dxa" w:w="2880"/>
            <w:shd w:fill="FFFFFF"/>
            <w:tcMar>
              <w:top w:w="100" w:type="dxa"/>
              <w:bottom w:w="100" w:type="dxa"/>
              <w:left w:w="150" w:type="dxa"/>
              <w:right w:w="150" w:type="dxa"/>
            </w:tcMar>
          </w:tcPr>
          <w:p>
            <w:r>
              <w:rPr>
                <w:rFonts w:ascii="Arial" w:hAnsi="Arial"/>
                <w:color w:val="334155"/>
                <w:sz w:val="18"/>
              </w:rPr>
              <w:t>Penghubung ke master model Divisi.</w:t>
            </w:r>
          </w:p>
        </w:tc>
      </w:tr>
      <w:tr>
        <w:tc>
          <w:tcPr>
            <w:tcW w:type="dxa" w:w="2592"/>
            <w:shd w:fill="F8FAFC"/>
            <w:tcMar>
              <w:top w:w="100" w:type="dxa"/>
              <w:bottom w:w="100" w:type="dxa"/>
              <w:left w:w="150" w:type="dxa"/>
              <w:right w:w="150" w:type="dxa"/>
            </w:tcMar>
          </w:tcPr>
          <w:p>
            <w:r>
              <w:rPr>
                <w:rFonts w:ascii="Arial" w:hAnsi="Arial"/>
                <w:color w:val="334155"/>
                <w:sz w:val="18"/>
              </w:rPr>
              <w:t>tanggalPinjam</w:t>
            </w:r>
          </w:p>
        </w:tc>
        <w:tc>
          <w:tcPr>
            <w:tcW w:type="dxa" w:w="2160"/>
            <w:shd w:fill="F8FAFC"/>
            <w:tcMar>
              <w:top w:w="100" w:type="dxa"/>
              <w:bottom w:w="100" w:type="dxa"/>
              <w:left w:w="150" w:type="dxa"/>
              <w:right w:w="150" w:type="dxa"/>
            </w:tcMar>
          </w:tcPr>
          <w:p>
            <w:r>
              <w:rPr>
                <w:rFonts w:ascii="Arial" w:hAnsi="Arial"/>
                <w:color w:val="334155"/>
                <w:sz w:val="18"/>
              </w:rPr>
              <w:t>DateTime</w:t>
            </w:r>
          </w:p>
        </w:tc>
        <w:tc>
          <w:tcPr>
            <w:tcW w:type="dxa" w:w="1728"/>
            <w:shd w:fill="F8FAFC"/>
            <w:tcMar>
              <w:top w:w="100" w:type="dxa"/>
              <w:bottom w:w="100" w:type="dxa"/>
              <w:left w:w="150" w:type="dxa"/>
              <w:right w:w="150" w:type="dxa"/>
            </w:tcMar>
          </w:tcPr>
          <w:p>
            <w:r>
              <w:rPr>
                <w:rFonts w:ascii="Arial" w:hAnsi="Arial"/>
                <w:color w:val="334155"/>
                <w:sz w:val="18"/>
              </w:rPr>
              <w:t>Default: now</w:t>
            </w:r>
          </w:p>
        </w:tc>
        <w:tc>
          <w:tcPr>
            <w:tcW w:type="dxa" w:w="2880"/>
            <w:shd w:fill="F8FAFC"/>
            <w:tcMar>
              <w:top w:w="100" w:type="dxa"/>
              <w:bottom w:w="100" w:type="dxa"/>
              <w:left w:w="150" w:type="dxa"/>
              <w:right w:w="150" w:type="dxa"/>
            </w:tcMar>
          </w:tcPr>
          <w:p>
            <w:r>
              <w:rPr>
                <w:rFonts w:ascii="Arial" w:hAnsi="Arial"/>
                <w:color w:val="334155"/>
                <w:sz w:val="18"/>
              </w:rPr>
              <w:t>Tanggal pengambilan dokumen fisik.</w:t>
            </w:r>
          </w:p>
        </w:tc>
      </w:tr>
      <w:tr>
        <w:tc>
          <w:tcPr>
            <w:tcW w:type="dxa" w:w="2592"/>
            <w:shd w:fill="FFFFFF"/>
            <w:tcMar>
              <w:top w:w="100" w:type="dxa"/>
              <w:bottom w:w="100" w:type="dxa"/>
              <w:left w:w="150" w:type="dxa"/>
              <w:right w:w="150" w:type="dxa"/>
            </w:tcMar>
          </w:tcPr>
          <w:p>
            <w:r>
              <w:rPr>
                <w:rFonts w:ascii="Arial" w:hAnsi="Arial"/>
                <w:color w:val="334155"/>
                <w:sz w:val="18"/>
              </w:rPr>
              <w:t>tanggalKembali</w:t>
            </w:r>
          </w:p>
        </w:tc>
        <w:tc>
          <w:tcPr>
            <w:tcW w:type="dxa" w:w="2160"/>
            <w:shd w:fill="FFFFFF"/>
            <w:tcMar>
              <w:top w:w="100" w:type="dxa"/>
              <w:bottom w:w="100" w:type="dxa"/>
              <w:left w:w="150" w:type="dxa"/>
              <w:right w:w="150" w:type="dxa"/>
            </w:tcMar>
          </w:tcPr>
          <w:p>
            <w:r>
              <w:rPr>
                <w:rFonts w:ascii="Arial" w:hAnsi="Arial"/>
                <w:color w:val="334155"/>
                <w:sz w:val="18"/>
              </w:rPr>
              <w:t>DateTime</w:t>
            </w:r>
          </w:p>
        </w:tc>
        <w:tc>
          <w:tcPr>
            <w:tcW w:type="dxa" w:w="1728"/>
            <w:shd w:fill="FFFFFF"/>
            <w:tcMar>
              <w:top w:w="100" w:type="dxa"/>
              <w:bottom w:w="100" w:type="dxa"/>
              <w:left w:w="150" w:type="dxa"/>
              <w:right w:w="150" w:type="dxa"/>
            </w:tcMar>
          </w:tcPr>
          <w:p>
            <w:r>
              <w:rPr>
                <w:rFonts w:ascii="Arial" w:hAnsi="Arial"/>
                <w:color w:val="334155"/>
                <w:sz w:val="18"/>
              </w:rPr>
              <w:t>Optional</w:t>
            </w:r>
          </w:p>
        </w:tc>
        <w:tc>
          <w:tcPr>
            <w:tcW w:type="dxa" w:w="2880"/>
            <w:shd w:fill="FFFFFF"/>
            <w:tcMar>
              <w:top w:w="100" w:type="dxa"/>
              <w:bottom w:w="100" w:type="dxa"/>
              <w:left w:w="150" w:type="dxa"/>
              <w:right w:w="150" w:type="dxa"/>
            </w:tcMar>
          </w:tcPr>
          <w:p>
            <w:r>
              <w:rPr>
                <w:rFonts w:ascii="Arial" w:hAnsi="Arial"/>
                <w:color w:val="334155"/>
                <w:sz w:val="18"/>
              </w:rPr>
              <w:t>Tanggal pengembalian dokumen fisik.</w:t>
            </w:r>
          </w:p>
        </w:tc>
      </w:tr>
      <w:tr>
        <w:tc>
          <w:tcPr>
            <w:tcW w:type="dxa" w:w="2592"/>
            <w:shd w:fill="F8FAFC"/>
            <w:tcMar>
              <w:top w:w="100" w:type="dxa"/>
              <w:bottom w:w="100" w:type="dxa"/>
              <w:left w:w="150" w:type="dxa"/>
              <w:right w:w="150" w:type="dxa"/>
            </w:tcMar>
          </w:tcPr>
          <w:p>
            <w:r>
              <w:rPr>
                <w:rFonts w:ascii="Arial" w:hAnsi="Arial"/>
                <w:color w:val="334155"/>
                <w:sz w:val="18"/>
              </w:rPr>
              <w:t>status</w:t>
            </w:r>
          </w:p>
        </w:tc>
        <w:tc>
          <w:tcPr>
            <w:tcW w:type="dxa" w:w="2160"/>
            <w:shd w:fill="F8FAFC"/>
            <w:tcMar>
              <w:top w:w="100" w:type="dxa"/>
              <w:bottom w:w="100" w:type="dxa"/>
              <w:left w:w="150" w:type="dxa"/>
              <w:right w:w="150" w:type="dxa"/>
            </w:tcMar>
          </w:tcPr>
          <w:p>
            <w:r>
              <w:rPr>
                <w:rFonts w:ascii="Arial" w:hAnsi="Arial"/>
                <w:color w:val="334155"/>
                <w:sz w:val="18"/>
              </w:rPr>
              <w:t>String</w:t>
            </w:r>
          </w:p>
        </w:tc>
        <w:tc>
          <w:tcPr>
            <w:tcW w:type="dxa" w:w="1728"/>
            <w:shd w:fill="F8FAFC"/>
            <w:tcMar>
              <w:top w:w="100" w:type="dxa"/>
              <w:bottom w:w="100" w:type="dxa"/>
              <w:left w:w="150" w:type="dxa"/>
              <w:right w:w="150" w:type="dxa"/>
            </w:tcMar>
          </w:tcPr>
          <w:p>
            <w:r>
              <w:rPr>
                <w:rFonts w:ascii="Arial" w:hAnsi="Arial"/>
                <w:color w:val="334155"/>
                <w:sz w:val="18"/>
              </w:rPr>
              <w:t>Required</w:t>
            </w:r>
          </w:p>
        </w:tc>
        <w:tc>
          <w:tcPr>
            <w:tcW w:type="dxa" w:w="2880"/>
            <w:shd w:fill="F8FAFC"/>
            <w:tcMar>
              <w:top w:w="100" w:type="dxa"/>
              <w:bottom w:w="100" w:type="dxa"/>
              <w:left w:w="150" w:type="dxa"/>
              <w:right w:w="150" w:type="dxa"/>
            </w:tcMar>
          </w:tcPr>
          <w:p>
            <w:r>
              <w:rPr>
                <w:rFonts w:ascii="Arial" w:hAnsi="Arial"/>
                <w:color w:val="334155"/>
                <w:sz w:val="18"/>
              </w:rPr>
              <w:t>Status peminjaman: DIPINJAM / DIKEMBALIKAN.</w:t>
            </w:r>
          </w:p>
        </w:tc>
      </w:tr>
    </w:tbl>
    <w:p>
      <w:pPr>
        <w:spacing w:before="0" w:after="120"/>
      </w:pPr>
    </w:p>
    <w:p>
      <w:r>
        <w:br w:type="page"/>
      </w:r>
    </w:p>
    <w:p>
      <w:pPr>
        <w:pStyle w:val="Heading1"/>
        <w:keepNext/>
        <w:spacing w:before="360" w:after="120"/>
      </w:pPr>
      <w:r>
        <w:rPr>
          <w:rFonts w:ascii="Arial" w:hAnsi="Arial"/>
          <w:b/>
          <w:i w:val="0"/>
          <w:color w:val="0F172A"/>
          <w:sz w:val="36"/>
        </w:rPr>
        <w:t>5. Fitur Utama &amp; Alur Kerja Detail</w:t>
      </w:r>
    </w:p>
    <w:p>
      <w:pPr>
        <w:pStyle w:val="Heading2"/>
        <w:keepNext/>
        <w:spacing w:before="280" w:after="80"/>
      </w:pPr>
      <w:r>
        <w:rPr>
          <w:rFonts w:ascii="Arial" w:hAnsi="Arial"/>
          <w:b/>
          <w:i w:val="0"/>
          <w:color w:val="059669"/>
          <w:sz w:val="28"/>
        </w:rPr>
        <w:t>5.1 Input Massal Nota (Bulk Import Spreadsheet Style)</w:t>
      </w:r>
    </w:p>
    <w:p>
      <w:pPr>
        <w:spacing w:before="0" w:after="120" w:line="276" w:lineRule="auto"/>
      </w:pPr>
      <w:r>
        <w:rPr>
          <w:rFonts w:ascii="Arial" w:hAnsi="Arial"/>
          <w:b w:val="0"/>
          <w:i w:val="0"/>
          <w:color w:val="334155"/>
          <w:sz w:val="20"/>
        </w:rPr>
        <w:t>Untuk mempermudah pengunggahan berkas nota bukti transaksi dalam jumlah besar, sistem menyediakan antarmuka khusus bergaya kisi spreadsheet. Fitur utama dalam modul ini meliputi:</w:t>
      </w:r>
    </w:p>
    <w:p>
      <w:pPr>
        <w:spacing w:before="0" w:after="80" w:line="276" w:lineRule="auto"/>
        <w:ind w:left="360"/>
      </w:pPr>
      <w:r>
        <w:rPr>
          <w:rFonts w:ascii="Arial" w:hAnsi="Arial"/>
          <w:b/>
          <w:i w:val="0"/>
          <w:color w:val="334155"/>
          <w:sz w:val="20"/>
        </w:rPr>
        <w:t xml:space="preserve">1. </w:t>
      </w:r>
      <w:r>
        <w:rPr>
          <w:rFonts w:ascii="Arial" w:hAnsi="Arial"/>
          <w:b/>
          <w:i w:val="0"/>
          <w:color w:val="334155"/>
          <w:sz w:val="20"/>
        </w:rPr>
        <w:t xml:space="preserve">Auto-fill Seri Berbasis Kode Petugas: </w:t>
      </w:r>
      <w:r>
        <w:rPr>
          <w:rFonts w:ascii="Arial" w:hAnsi="Arial"/>
          <w:b w:val="0"/>
          <w:i w:val="0"/>
          <w:color w:val="334155"/>
          <w:sz w:val="20"/>
        </w:rPr>
        <w:t>Sistem menyediakan dropdown pilihan Petugas. Begitu petugas dipilih, sistem secara otomatis membaca kode angka unik di belakang username (misal username 'k0110' -&gt; '0110'), kemudian mencari nomor bukti berawalan '0110' yang paling terakhir di database. Nomor bukti baris pertama kemudian diisi dengan angka urut berikutnya secara otomatis.</w:t>
      </w:r>
    </w:p>
    <w:p>
      <w:pPr>
        <w:spacing w:before="0" w:after="80" w:line="276" w:lineRule="auto"/>
        <w:ind w:left="360"/>
      </w:pPr>
      <w:r>
        <w:rPr>
          <w:rFonts w:ascii="Arial" w:hAnsi="Arial"/>
          <w:b/>
          <w:i w:val="0"/>
          <w:color w:val="334155"/>
          <w:sz w:val="20"/>
        </w:rPr>
        <w:t xml:space="preserve">2. </w:t>
      </w:r>
      <w:r>
        <w:rPr>
          <w:rFonts w:ascii="Arial" w:hAnsi="Arial"/>
          <w:b/>
          <w:i w:val="0"/>
          <w:color w:val="334155"/>
          <w:sz w:val="20"/>
        </w:rPr>
        <w:t xml:space="preserve">Seri Berurutan Otomatis: </w:t>
      </w:r>
      <w:r>
        <w:rPr>
          <w:rFonts w:ascii="Arial" w:hAnsi="Arial"/>
          <w:b w:val="0"/>
          <w:i w:val="0"/>
          <w:color w:val="334155"/>
          <w:sz w:val="20"/>
        </w:rPr>
        <w:t>Mengisi kolom nomor bukti untuk seluruh baris di bawahnya secara berurutan +1 dari baris pertama.</w:t>
      </w:r>
    </w:p>
    <w:p>
      <w:pPr>
        <w:spacing w:before="0" w:after="80" w:line="276" w:lineRule="auto"/>
        <w:ind w:left="360"/>
      </w:pPr>
      <w:r>
        <w:rPr>
          <w:rFonts w:ascii="Arial" w:hAnsi="Arial"/>
          <w:b/>
          <w:i w:val="0"/>
          <w:color w:val="334155"/>
          <w:sz w:val="20"/>
        </w:rPr>
        <w:t xml:space="preserve">3. </w:t>
      </w:r>
      <w:r>
        <w:rPr>
          <w:rFonts w:ascii="Arial" w:hAnsi="Arial"/>
          <w:b/>
          <w:i w:val="0"/>
          <w:color w:val="334155"/>
          <w:sz w:val="20"/>
        </w:rPr>
        <w:t xml:space="preserve">Fitur Salin Baris Pertama ke Semua: </w:t>
      </w:r>
      <w:r>
        <w:rPr>
          <w:rFonts w:ascii="Arial" w:hAnsi="Arial"/>
          <w:b w:val="0"/>
          <w:i w:val="0"/>
          <w:color w:val="334155"/>
          <w:sz w:val="20"/>
        </w:rPr>
        <w:t>Menyalin nilai Tanggal Bukti, Nominal, Keterangan, dan Lokasi Map dari baris pertama ke seluruh baris di bawahnya dalam satu klik.</w:t>
      </w:r>
    </w:p>
    <w:p>
      <w:pPr>
        <w:spacing w:before="0" w:after="80" w:line="276" w:lineRule="auto"/>
        <w:ind w:left="360"/>
      </w:pPr>
      <w:r>
        <w:rPr>
          <w:rFonts w:ascii="Arial" w:hAnsi="Arial"/>
          <w:b/>
          <w:i w:val="0"/>
          <w:color w:val="334155"/>
          <w:sz w:val="20"/>
        </w:rPr>
        <w:t xml:space="preserve">4. </w:t>
      </w:r>
      <w:r>
        <w:rPr>
          <w:rFonts w:ascii="Arial" w:hAnsi="Arial"/>
          <w:b/>
          <w:i w:val="0"/>
          <w:color w:val="334155"/>
          <w:sz w:val="20"/>
        </w:rPr>
        <w:t xml:space="preserve">Database Transaction Rollback: </w:t>
      </w:r>
      <w:r>
        <w:rPr>
          <w:rFonts w:ascii="Arial" w:hAnsi="Arial"/>
          <w:b w:val="0"/>
          <w:i w:val="0"/>
          <w:color w:val="334155"/>
          <w:sz w:val="20"/>
        </w:rPr>
        <w:t>Penyimpanan data massal diproteksi oleh skema transaksi database (Prisma Transaction). Jika terdapat satu baris nomor bukti yang duplikat atau salah format, seluruh proses penyimpanan dibatalkan (rollback) demi menjaga konsistensi database.</w:t>
      </w:r>
    </w:p>
    <w:p>
      <w:pPr>
        <w:pStyle w:val="Heading2"/>
        <w:keepNext/>
        <w:spacing w:before="280" w:after="80"/>
      </w:pPr>
      <w:r>
        <w:rPr>
          <w:rFonts w:ascii="Arial" w:hAnsi="Arial"/>
          <w:b/>
          <w:i w:val="0"/>
          <w:color w:val="059669"/>
          <w:sz w:val="28"/>
        </w:rPr>
        <w:t>5.2 Alur Cascading Dropdown Lokasi Fisik</w:t>
      </w:r>
    </w:p>
    <w:p>
      <w:pPr>
        <w:spacing w:before="0" w:after="120" w:line="276" w:lineRule="auto"/>
      </w:pPr>
      <w:r>
        <w:rPr>
          <w:rFonts w:ascii="Arial" w:hAnsi="Arial"/>
          <w:b w:val="0"/>
          <w:i w:val="0"/>
          <w:color w:val="334155"/>
          <w:sz w:val="20"/>
        </w:rPr>
        <w:t>Pada form pembuatan atau pembaruan nota tunggal, pemilihan lokasi fisik diatur dengan rantai bertingkat untuk mencegah inkonsistensi lokasi berkas:</w:t>
      </w:r>
    </w:p>
    <w:p>
      <w:pPr>
        <w:pStyle w:val="ListBullet"/>
        <w:spacing w:before="0" w:after="60" w:line="276" w:lineRule="auto"/>
      </w:pPr>
      <w:r>
        <w:rPr>
          <w:rFonts w:ascii="Arial" w:hAnsi="Arial"/>
          <w:b w:val="0"/>
          <w:i w:val="0"/>
          <w:color w:val="334155"/>
          <w:sz w:val="20"/>
        </w:rPr>
        <w:t>Langkah 1: Pengguna memilih Lemari Rak.</w:t>
      </w:r>
    </w:p>
    <w:p>
      <w:pPr>
        <w:pStyle w:val="ListBullet"/>
        <w:spacing w:before="0" w:after="60" w:line="276" w:lineRule="auto"/>
      </w:pPr>
      <w:r>
        <w:rPr>
          <w:rFonts w:ascii="Arial" w:hAnsi="Arial"/>
          <w:b w:val="0"/>
          <w:i w:val="0"/>
          <w:color w:val="334155"/>
          <w:sz w:val="20"/>
        </w:rPr>
        <w:t>Langkah 2: Opsi pilihan Dus disaring secara dinamis untuk hanya menampilkan Dus yang terikat pada Rak terpilih.</w:t>
      </w:r>
    </w:p>
    <w:p>
      <w:pPr>
        <w:pStyle w:val="ListBullet"/>
        <w:spacing w:before="0" w:after="60" w:line="276" w:lineRule="auto"/>
      </w:pPr>
      <w:r>
        <w:rPr>
          <w:rFonts w:ascii="Arial" w:hAnsi="Arial"/>
          <w:b w:val="0"/>
          <w:i w:val="0"/>
          <w:color w:val="334155"/>
          <w:sz w:val="20"/>
        </w:rPr>
        <w:t>Langkah 3: Opsi pilihan Map Pembungkus disaring kembali untuk hanya menampilkan Map yang berada di dalam Dus terpilih.</w:t>
      </w:r>
    </w:p>
    <w:p>
      <w:pPr>
        <w:pStyle w:val="Heading2"/>
        <w:keepNext/>
        <w:spacing w:before="280" w:after="80"/>
      </w:pPr>
      <w:r>
        <w:rPr>
          <w:rFonts w:ascii="Arial" w:hAnsi="Arial"/>
          <w:b/>
          <w:i w:val="0"/>
          <w:color w:val="059669"/>
          <w:sz w:val="28"/>
        </w:rPr>
        <w:t>5.3 Siklus Sirkulasi Nota Peminjaman</w:t>
      </w:r>
    </w:p>
    <w:p>
      <w:pPr>
        <w:spacing w:before="0" w:after="120" w:line="276" w:lineRule="auto"/>
      </w:pPr>
      <w:r>
        <w:rPr>
          <w:rFonts w:ascii="Arial" w:hAnsi="Arial"/>
          <w:b w:val="0"/>
          <w:i w:val="0"/>
          <w:color w:val="334155"/>
          <w:sz w:val="20"/>
        </w:rPr>
        <w:t>Sirkulasi nota fisik diawasi ketat. Sistem memeriksa ketersediaan nota secara real-time sebelum menyetujui peminjaman:</w:t>
      </w:r>
    </w:p>
    <w:p>
      <w:pPr>
        <w:pStyle w:val="ListBullet"/>
        <w:spacing w:before="0" w:after="60" w:line="276" w:lineRule="auto"/>
      </w:pPr>
      <w:r>
        <w:rPr>
          <w:rFonts w:ascii="Arial" w:hAnsi="Arial"/>
          <w:b/>
          <w:i w:val="0"/>
          <w:color w:val="334155"/>
          <w:sz w:val="20"/>
        </w:rPr>
        <w:t xml:space="preserve">Validasi Ketersediaan: </w:t>
      </w:r>
      <w:r>
        <w:rPr>
          <w:rFonts w:ascii="Arial" w:hAnsi="Arial"/>
          <w:b w:val="0"/>
          <w:i w:val="0"/>
          <w:color w:val="334155"/>
          <w:sz w:val="20"/>
        </w:rPr>
        <w:t>Jika status nota sedang dipinjam (ada record Peminjaman aktif dengan status 'DIPINJAM'), tombol peminjaman dinonaktifkan, dan upaya peminjaman baru akan ditolak dengan pesan kesalahan.</w:t>
      </w:r>
    </w:p>
    <w:p>
      <w:pPr>
        <w:pStyle w:val="ListBullet"/>
        <w:spacing w:before="0" w:after="60" w:line="276" w:lineRule="auto"/>
      </w:pPr>
      <w:r>
        <w:rPr>
          <w:rFonts w:ascii="Arial" w:hAnsi="Arial"/>
          <w:b/>
          <w:i w:val="0"/>
          <w:color w:val="334155"/>
          <w:sz w:val="20"/>
        </w:rPr>
        <w:t xml:space="preserve">Entri Data Sirkulasi: </w:t>
      </w:r>
      <w:r>
        <w:rPr>
          <w:rFonts w:ascii="Arial" w:hAnsi="Arial"/>
          <w:b w:val="0"/>
          <w:i w:val="0"/>
          <w:color w:val="334155"/>
          <w:sz w:val="20"/>
        </w:rPr>
        <w:t>Saat meminjam, Admin wajib mencantumkan nama staf, memilih divisi peminjam dari master data Divisi, dan mengisi tujuan peminjaman.</w:t>
      </w:r>
    </w:p>
    <w:p>
      <w:pPr>
        <w:pStyle w:val="ListBullet"/>
        <w:spacing w:before="0" w:after="60" w:line="276" w:lineRule="auto"/>
      </w:pPr>
      <w:r>
        <w:rPr>
          <w:rFonts w:ascii="Arial" w:hAnsi="Arial"/>
          <w:b/>
          <w:i w:val="0"/>
          <w:color w:val="334155"/>
          <w:sz w:val="20"/>
        </w:rPr>
        <w:t xml:space="preserve">Pengembalian Instan: </w:t>
      </w:r>
      <w:r>
        <w:rPr>
          <w:rFonts w:ascii="Arial" w:hAnsi="Arial"/>
          <w:b w:val="0"/>
          <w:i w:val="0"/>
          <w:color w:val="334155"/>
          <w:sz w:val="20"/>
        </w:rPr>
        <w:t>Ketika dokumen dikembalikan, Admin cukup mengeklik 'Kembalikan' pada detail nota. Sistem mencatat tanggal kembali saat itu juga dan mengubah status ketersediaan nota menjadi 'Tersedia'.</w:t>
      </w:r>
    </w:p>
    <w:p>
      <w:pPr>
        <w:pStyle w:val="Heading1"/>
        <w:keepNext/>
        <w:spacing w:before="360" w:after="120"/>
      </w:pPr>
      <w:r>
        <w:rPr>
          <w:rFonts w:ascii="Arial" w:hAnsi="Arial"/>
          <w:b/>
          <w:i w:val="0"/>
          <w:color w:val="0F172A"/>
          <w:sz w:val="36"/>
        </w:rPr>
        <w:t>6. Diagram Alur Sistem (Flowcharts)</w:t>
      </w:r>
    </w:p>
    <w:p>
      <w:pPr>
        <w:pStyle w:val="Heading2"/>
        <w:keepNext/>
        <w:spacing w:before="280" w:after="80"/>
      </w:pPr>
      <w:r>
        <w:rPr>
          <w:rFonts w:ascii="Arial" w:hAnsi="Arial"/>
          <w:b/>
          <w:i w:val="0"/>
          <w:color w:val="059669"/>
          <w:sz w:val="28"/>
        </w:rPr>
        <w:t>6.1 Diagram Alur Autentikasi &amp; Hak Akses Peran</w:t>
      </w:r>
    </w:p>
    <w:p>
      <w:pPr>
        <w:spacing w:before="0" w:after="120" w:line="276" w:lineRule="auto"/>
      </w:pPr>
      <w:r>
        <w:rPr>
          <w:rFonts w:ascii="Arial" w:hAnsi="Arial"/>
          <w:b w:val="0"/>
          <w:i w:val="0"/>
          <w:color w:val="334155"/>
          <w:sz w:val="20"/>
        </w:rPr>
        <w:t>Diagram berikut menggambarkan bagaimana pengguna masuk ke dalam sistem, bagaimana validasi dilakukan oleh database dengan enkripsi Bcrypt, serta akses tunggal yang diberikan kepada pengguna dengan peran ADMIN.</w:t>
      </w:r>
    </w:p>
    <w:p>
      <w:r>
        <w:drawing>
          <wp:inline xmlns:a="http://schemas.openxmlformats.org/drawingml/2006/main" xmlns:pic="http://schemas.openxmlformats.org/drawingml/2006/picture">
            <wp:extent cx="5486400" cy="3566160"/>
            <wp:docPr id="1" name="Picture 1"/>
            <wp:cNvGraphicFramePr>
              <a:graphicFrameLocks noChangeAspect="1"/>
            </wp:cNvGraphicFramePr>
            <a:graphic>
              <a:graphicData uri="http://schemas.openxmlformats.org/drawingml/2006/picture">
                <pic:pic>
                  <pic:nvPicPr>
                    <pic:cNvPr id="0" name="auth_flow.png"/>
                    <pic:cNvPicPr/>
                  </pic:nvPicPr>
                  <pic:blipFill>
                    <a:blip r:embed="rId9"/>
                    <a:stretch>
                      <a:fillRect/>
                    </a:stretch>
                  </pic:blipFill>
                  <pic:spPr>
                    <a:xfrm>
                      <a:off x="0" y="0"/>
                      <a:ext cx="5486400" cy="3566160"/>
                    </a:xfrm>
                    <a:prstGeom prst="rect"/>
                  </pic:spPr>
                </pic:pic>
              </a:graphicData>
            </a:graphic>
          </wp:inline>
        </w:drawing>
      </w:r>
    </w:p>
    <w:p>
      <w:pPr>
        <w:jc w:val="center"/>
      </w:pPr>
      <w:r>
        <w:rPr>
          <w:rFonts w:ascii="Arial" w:hAnsi="Arial"/>
          <w:b w:val="0"/>
          <w:i/>
          <w:color w:val="334155"/>
          <w:sz w:val="19"/>
        </w:rPr>
        <w:t>Gambar 6.1: Alur Autentikasi &amp; Hak Akses Peran (ADMIN)</w:t>
      </w:r>
    </w:p>
    <w:p>
      <w:pPr>
        <w:pStyle w:val="Heading2"/>
        <w:keepNext/>
        <w:spacing w:before="280" w:after="80"/>
      </w:pPr>
      <w:r>
        <w:rPr>
          <w:rFonts w:ascii="Arial" w:hAnsi="Arial"/>
          <w:b/>
          <w:i w:val="0"/>
          <w:color w:val="059669"/>
          <w:sz w:val="28"/>
        </w:rPr>
        <w:t>6.2 Diagram Siklus Hidup Nota &amp; Verifikasi</w:t>
      </w:r>
    </w:p>
    <w:p>
      <w:pPr>
        <w:spacing w:before="0" w:after="120" w:line="276" w:lineRule="auto"/>
      </w:pPr>
      <w:r>
        <w:rPr>
          <w:rFonts w:ascii="Arial" w:hAnsi="Arial"/>
          <w:b w:val="0"/>
          <w:i w:val="0"/>
          <w:color w:val="334155"/>
          <w:sz w:val="20"/>
        </w:rPr>
        <w:t>Diagram di bawah memetakan siklus berkas arsip nota mulai dari entri data tunggal/massal oleh Admin, menyimpan dalam status 'Draft/Unverified', hingga tahap peninjauan dan verifikasi akhir oleh Admin itu sendiri.</w:t>
      </w:r>
    </w:p>
    <w:p>
      <w:r>
        <w:drawing>
          <wp:inline xmlns:a="http://schemas.openxmlformats.org/drawingml/2006/main" xmlns:pic="http://schemas.openxmlformats.org/drawingml/2006/picture">
            <wp:extent cx="5486400" cy="4663440"/>
            <wp:docPr id="2" name="Picture 2"/>
            <wp:cNvGraphicFramePr>
              <a:graphicFrameLocks noChangeAspect="1"/>
            </wp:cNvGraphicFramePr>
            <a:graphic>
              <a:graphicData uri="http://schemas.openxmlformats.org/drawingml/2006/picture">
                <pic:pic>
                  <pic:nvPicPr>
                    <pic:cNvPr id="0" name="voucher_flow.png"/>
                    <pic:cNvPicPr/>
                  </pic:nvPicPr>
                  <pic:blipFill>
                    <a:blip r:embed="rId10"/>
                    <a:stretch>
                      <a:fillRect/>
                    </a:stretch>
                  </pic:blipFill>
                  <pic:spPr>
                    <a:xfrm>
                      <a:off x="0" y="0"/>
                      <a:ext cx="5486400" cy="4663440"/>
                    </a:xfrm>
                    <a:prstGeom prst="rect"/>
                  </pic:spPr>
                </pic:pic>
              </a:graphicData>
            </a:graphic>
          </wp:inline>
        </w:drawing>
      </w:r>
    </w:p>
    <w:p>
      <w:pPr>
        <w:jc w:val="center"/>
      </w:pPr>
      <w:r>
        <w:rPr>
          <w:rFonts w:ascii="Arial" w:hAnsi="Arial"/>
          <w:b w:val="0"/>
          <w:i/>
          <w:color w:val="334155"/>
          <w:sz w:val="19"/>
        </w:rPr>
        <w:t>Gambar 6.2: Siklus Hidup Arsip Nota &amp; Verifikasi Admin</w:t>
      </w:r>
    </w:p>
    <w:p>
      <w:pPr>
        <w:pStyle w:val="Heading2"/>
        <w:keepNext/>
        <w:spacing w:before="280" w:after="80"/>
      </w:pPr>
      <w:r>
        <w:rPr>
          <w:rFonts w:ascii="Arial" w:hAnsi="Arial"/>
          <w:b/>
          <w:i w:val="0"/>
          <w:color w:val="059669"/>
          <w:sz w:val="28"/>
        </w:rPr>
        <w:t>6.3 Diagram Alur Sirkulasi Peminjaman &amp; Pengembalian</w:t>
      </w:r>
    </w:p>
    <w:p>
      <w:pPr>
        <w:spacing w:before="0" w:after="120" w:line="276" w:lineRule="auto"/>
      </w:pPr>
      <w:r>
        <w:rPr>
          <w:rFonts w:ascii="Arial" w:hAnsi="Arial"/>
          <w:b w:val="0"/>
          <w:i w:val="0"/>
          <w:color w:val="334155"/>
          <w:sz w:val="20"/>
        </w:rPr>
        <w:t>Diagram di bawah merinci alur peminjaman dokumen fisik kearsipan oleh divisi pemohon, pemeriksaan status ketersediaan, perekaman log peminjaman, serta prosedur pengembalian dokumen yang dilakukan oleh Admin.</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loan_flow.png"/>
                    <pic:cNvPicPr/>
                  </pic:nvPicPr>
                  <pic:blipFill>
                    <a:blip r:embed="rId11"/>
                    <a:stretch>
                      <a:fillRect/>
                    </a:stretch>
                  </pic:blipFill>
                  <pic:spPr>
                    <a:xfrm>
                      <a:off x="0" y="0"/>
                      <a:ext cx="5486400" cy="4114800"/>
                    </a:xfrm>
                    <a:prstGeom prst="rect"/>
                  </pic:spPr>
                </pic:pic>
              </a:graphicData>
            </a:graphic>
          </wp:inline>
        </w:drawing>
      </w:r>
    </w:p>
    <w:p>
      <w:pPr>
        <w:jc w:val="center"/>
      </w:pPr>
      <w:r>
        <w:rPr>
          <w:rFonts w:ascii="Arial" w:hAnsi="Arial"/>
          <w:b w:val="0"/>
          <w:i/>
          <w:color w:val="334155"/>
          <w:sz w:val="19"/>
        </w:rPr>
        <w:t>Gambar 6.3: Siklus Sirkulasi Peminjaman &amp; Pengembalian Arsip Fisik</w:t>
      </w:r>
    </w:p>
    <w:p>
      <w:r>
        <w:br w:type="page"/>
      </w:r>
    </w:p>
    <w:p>
      <w:pPr>
        <w:pStyle w:val="Heading1"/>
        <w:keepNext/>
        <w:spacing w:before="360" w:after="120"/>
      </w:pPr>
      <w:r>
        <w:rPr>
          <w:rFonts w:ascii="Arial" w:hAnsi="Arial"/>
          <w:b/>
          <w:i w:val="0"/>
          <w:color w:val="0F172A"/>
          <w:sz w:val="36"/>
        </w:rPr>
        <w:t>7. Sistem Konfirmasi Dialog Modern</w:t>
      </w:r>
    </w:p>
    <w:p>
      <w:pPr>
        <w:spacing w:before="0" w:after="120" w:line="276" w:lineRule="auto"/>
      </w:pPr>
      <w:r>
        <w:rPr>
          <w:rFonts w:ascii="Arial" w:hAnsi="Arial"/>
          <w:b w:val="0"/>
          <w:i w:val="0"/>
          <w:color w:val="334155"/>
          <w:sz w:val="20"/>
        </w:rPr>
        <w:t>Untuk memastikan kemudahan penggunaan dan menjaga estetika aplikasi yang elegan sesuai dengan standar visual BSG, sistem meniadakan seluruh fungsi bawaan browser native (seperti confirm()) dan menggantinya dengan komponen Dialog kustom.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top w:val="none"/>
              <w:left w:val="single" w:sz="24" w:space="0" w:color="059669"/>
              <w:bottom w:val="none"/>
              <w:right w:val="none"/>
            </w:tcBorders>
          </w:tcPr>
          <w:p>
            <w:pPr>
              <w:spacing w:before="80" w:after="40"/>
            </w:pPr>
            <w:r>
              <w:rPr>
                <w:rFonts w:ascii="Arial" w:hAnsi="Arial"/>
                <w:b/>
                <w:color w:val="0F172A"/>
                <w:sz w:val="20"/>
              </w:rPr>
              <w:t>Fitur Unggulan Dialog Kustom:</w:t>
              <w:br/>
            </w:r>
            <w:r>
              <w:rPr>
                <w:rFonts w:ascii="Arial" w:hAnsi="Arial"/>
                <w:color w:val="334155"/>
                <w:sz w:val="19"/>
              </w:rPr>
              <w:t>1. Desain Glassmorphism: Backdrop blur dengan gradasi warna yang selaras dengan tema aplikasi.</w:t>
              <w:br/>
              <w:t>2. Konfirmasi Kontekstual Eksplisit: Dialog konfirmasi hapus menyebutkan secara jelas nama entitas yang akan dihapus (contoh: 'Apakah Anda yakin ingin menghapus rak Rak A?').</w:t>
              <w:br/>
              <w:t>3. Konfirmasi Verifikasi Terarah: Menampilkan pesan tanggung jawab verifikasi bagi Admin sebelum memperbarui data transaksi sebagai valid.</w:t>
            </w:r>
          </w:p>
        </w:tc>
      </w:tr>
    </w:tbl>
    <w:p>
      <w:pPr>
        <w:spacing w:before="0" w:after="160"/>
      </w:pPr>
    </w:p>
    <w:p>
      <w:pPr>
        <w:pStyle w:val="Heading1"/>
        <w:keepNext/>
        <w:spacing w:before="360" w:after="120"/>
      </w:pPr>
      <w:r>
        <w:rPr>
          <w:rFonts w:ascii="Arial" w:hAnsi="Arial"/>
          <w:b/>
          <w:i w:val="0"/>
          <w:color w:val="0F172A"/>
          <w:sz w:val="36"/>
        </w:rPr>
        <w:t>8. Tumpukan Teknologi (Tech Stack)</w:t>
      </w:r>
    </w:p>
    <w:p>
      <w:pPr>
        <w:spacing w:before="0" w:after="120" w:line="276" w:lineRule="auto"/>
      </w:pPr>
      <w:r>
        <w:rPr>
          <w:rFonts w:ascii="Arial" w:hAnsi="Arial"/>
          <w:b w:val="0"/>
          <w:i w:val="0"/>
          <w:color w:val="334155"/>
          <w:sz w:val="20"/>
        </w:rPr>
        <w:t>Aplikasi ini dikembangkan di atas fondasi teknologi web modern Next.js 16.x untuk menjamin performa tinggi, keamanan data, dan kecepatan muat:</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20" w:type="dxa"/>
              <w:bottom w:w="120" w:type="dxa"/>
              <w:left w:w="150" w:type="dxa"/>
              <w:right w:w="150" w:type="dxa"/>
            </w:tcMar>
          </w:tcPr>
          <w:p>
            <w:pPr>
              <w:jc w:val="left"/>
            </w:pPr>
            <w:r>
              <w:rPr>
                <w:rFonts w:ascii="Arial" w:hAnsi="Arial"/>
                <w:b/>
                <w:color w:val="FFFFFF"/>
                <w:sz w:val="20"/>
              </w:rPr>
              <w:t>Teknologi</w:t>
            </w:r>
          </w:p>
        </w:tc>
        <w:tc>
          <w:tcPr>
            <w:tcW w:type="dxa" w:w="3168"/>
            <w:shd w:fill="0F172A"/>
            <w:tcMar>
              <w:top w:w="120" w:type="dxa"/>
              <w:bottom w:w="120" w:type="dxa"/>
              <w:left w:w="150" w:type="dxa"/>
              <w:right w:w="150" w:type="dxa"/>
            </w:tcMar>
          </w:tcPr>
          <w:p>
            <w:pPr>
              <w:jc w:val="left"/>
            </w:pPr>
            <w:r>
              <w:rPr>
                <w:rFonts w:ascii="Arial" w:hAnsi="Arial"/>
                <w:b/>
                <w:color w:val="FFFFFF"/>
                <w:sz w:val="20"/>
              </w:rPr>
              <w:t>Versi / Penerapan</w:t>
            </w:r>
          </w:p>
        </w:tc>
        <w:tc>
          <w:tcPr>
            <w:tcW w:type="dxa" w:w="4752"/>
            <w:shd w:fill="0F172A"/>
            <w:tcMar>
              <w:top w:w="120" w:type="dxa"/>
              <w:bottom w:w="120" w:type="dxa"/>
              <w:left w:w="150" w:type="dxa"/>
              <w:right w:w="150" w:type="dxa"/>
            </w:tcMar>
          </w:tcPr>
          <w:p>
            <w:pPr>
              <w:jc w:val="left"/>
            </w:pPr>
            <w:r>
              <w:rPr>
                <w:rFonts w:ascii="Arial" w:hAnsi="Arial"/>
                <w:b/>
                <w:color w:val="FFFFFF"/>
                <w:sz w:val="20"/>
              </w:rPr>
              <w:t>Fungsi &amp; Keuntungan</w:t>
            </w:r>
          </w:p>
        </w:tc>
      </w:tr>
      <w:tr>
        <w:tc>
          <w:tcPr>
            <w:tcW w:type="dxa" w:w="2160"/>
            <w:shd w:fill="FFFFFF"/>
            <w:tcMar>
              <w:top w:w="100" w:type="dxa"/>
              <w:bottom w:w="100" w:type="dxa"/>
              <w:left w:w="150" w:type="dxa"/>
              <w:right w:w="150" w:type="dxa"/>
            </w:tcMar>
          </w:tcPr>
          <w:p>
            <w:r>
              <w:rPr>
                <w:rFonts w:ascii="Arial" w:hAnsi="Arial"/>
                <w:color w:val="334155"/>
                <w:sz w:val="18"/>
              </w:rPr>
              <w:t>Next.js</w:t>
            </w:r>
          </w:p>
        </w:tc>
        <w:tc>
          <w:tcPr>
            <w:tcW w:type="dxa" w:w="3168"/>
            <w:shd w:fill="FFFFFF"/>
            <w:tcMar>
              <w:top w:w="100" w:type="dxa"/>
              <w:bottom w:w="100" w:type="dxa"/>
              <w:left w:w="150" w:type="dxa"/>
              <w:right w:w="150" w:type="dxa"/>
            </w:tcMar>
          </w:tcPr>
          <w:p>
            <w:r>
              <w:rPr>
                <w:rFonts w:ascii="Arial" w:hAnsi="Arial"/>
                <w:color w:val="334155"/>
                <w:sz w:val="18"/>
              </w:rPr>
              <w:t>16.2.9 (App Router)</w:t>
            </w:r>
          </w:p>
        </w:tc>
        <w:tc>
          <w:tcPr>
            <w:tcW w:type="dxa" w:w="4752"/>
            <w:shd w:fill="FFFFFF"/>
            <w:tcMar>
              <w:top w:w="100" w:type="dxa"/>
              <w:bottom w:w="100" w:type="dxa"/>
              <w:left w:w="150" w:type="dxa"/>
              <w:right w:w="150" w:type="dxa"/>
            </w:tcMar>
          </w:tcPr>
          <w:p>
            <w:r>
              <w:rPr>
                <w:rFonts w:ascii="Arial" w:hAnsi="Arial"/>
                <w:color w:val="334155"/>
                <w:sz w:val="18"/>
              </w:rPr>
              <w:t>Framework React utama. Server rendering (SSR) mempercepat pencarian data, Server Actions melindungi logika mutasi database.</w:t>
            </w:r>
          </w:p>
        </w:tc>
      </w:tr>
      <w:tr>
        <w:tc>
          <w:tcPr>
            <w:tcW w:type="dxa" w:w="2160"/>
            <w:shd w:fill="F8FAFC"/>
            <w:tcMar>
              <w:top w:w="100" w:type="dxa"/>
              <w:bottom w:w="100" w:type="dxa"/>
              <w:left w:w="150" w:type="dxa"/>
              <w:right w:w="150" w:type="dxa"/>
            </w:tcMar>
          </w:tcPr>
          <w:p>
            <w:r>
              <w:rPr>
                <w:rFonts w:ascii="Arial" w:hAnsi="Arial"/>
                <w:color w:val="334155"/>
                <w:sz w:val="18"/>
              </w:rPr>
              <w:t>Prisma ORM</w:t>
            </w:r>
          </w:p>
        </w:tc>
        <w:tc>
          <w:tcPr>
            <w:tcW w:type="dxa" w:w="3168"/>
            <w:shd w:fill="F8FAFC"/>
            <w:tcMar>
              <w:top w:w="100" w:type="dxa"/>
              <w:bottom w:w="100" w:type="dxa"/>
              <w:left w:w="150" w:type="dxa"/>
              <w:right w:w="150" w:type="dxa"/>
            </w:tcMar>
          </w:tcPr>
          <w:p>
            <w:r>
              <w:rPr>
                <w:rFonts w:ascii="Arial" w:hAnsi="Arial"/>
                <w:color w:val="334155"/>
                <w:sz w:val="18"/>
              </w:rPr>
              <w:t>6.x</w:t>
            </w:r>
          </w:p>
        </w:tc>
        <w:tc>
          <w:tcPr>
            <w:tcW w:type="dxa" w:w="4752"/>
            <w:shd w:fill="F8FAFC"/>
            <w:tcMar>
              <w:top w:w="100" w:type="dxa"/>
              <w:bottom w:w="100" w:type="dxa"/>
              <w:left w:w="150" w:type="dxa"/>
              <w:right w:w="150" w:type="dxa"/>
            </w:tcMar>
          </w:tcPr>
          <w:p>
            <w:r>
              <w:rPr>
                <w:rFonts w:ascii="Arial" w:hAnsi="Arial"/>
                <w:color w:val="334155"/>
                <w:sz w:val="18"/>
              </w:rPr>
              <w:t>Object Relational Mapper untuk interaksi data PostgreSQL yang type-safe dan migrasi skema terstruktur.</w:t>
            </w:r>
          </w:p>
        </w:tc>
      </w:tr>
      <w:tr>
        <w:tc>
          <w:tcPr>
            <w:tcW w:type="dxa" w:w="2160"/>
            <w:shd w:fill="FFFFFF"/>
            <w:tcMar>
              <w:top w:w="100" w:type="dxa"/>
              <w:bottom w:w="100" w:type="dxa"/>
              <w:left w:w="150" w:type="dxa"/>
              <w:right w:w="150" w:type="dxa"/>
            </w:tcMar>
          </w:tcPr>
          <w:p>
            <w:r>
              <w:rPr>
                <w:rFonts w:ascii="Arial" w:hAnsi="Arial"/>
                <w:color w:val="334155"/>
                <w:sz w:val="18"/>
              </w:rPr>
              <w:t>PostgreSQL</w:t>
            </w:r>
          </w:p>
        </w:tc>
        <w:tc>
          <w:tcPr>
            <w:tcW w:type="dxa" w:w="3168"/>
            <w:shd w:fill="FFFFFF"/>
            <w:tcMar>
              <w:top w:w="100" w:type="dxa"/>
              <w:bottom w:w="100" w:type="dxa"/>
              <w:left w:w="150" w:type="dxa"/>
              <w:right w:w="150" w:type="dxa"/>
            </w:tcMar>
          </w:tcPr>
          <w:p>
            <w:r>
              <w:rPr>
                <w:rFonts w:ascii="Arial" w:hAnsi="Arial"/>
                <w:color w:val="334155"/>
                <w:sz w:val="18"/>
              </w:rPr>
              <w:t>16.x / 17.x</w:t>
            </w:r>
          </w:p>
        </w:tc>
        <w:tc>
          <w:tcPr>
            <w:tcW w:type="dxa" w:w="4752"/>
            <w:shd w:fill="FFFFFF"/>
            <w:tcMar>
              <w:top w:w="100" w:type="dxa"/>
              <w:bottom w:w="100" w:type="dxa"/>
              <w:left w:w="150" w:type="dxa"/>
              <w:right w:w="150" w:type="dxa"/>
            </w:tcMar>
          </w:tcPr>
          <w:p>
            <w:r>
              <w:rPr>
                <w:rFonts w:ascii="Arial" w:hAnsi="Arial"/>
                <w:color w:val="334155"/>
                <w:sz w:val="18"/>
              </w:rPr>
              <w:t>Database Relasional tangguh dengan proteksi foreign key referential integrity untuk data vital perbankan.</w:t>
            </w:r>
          </w:p>
        </w:tc>
      </w:tr>
      <w:tr>
        <w:tc>
          <w:tcPr>
            <w:tcW w:type="dxa" w:w="2160"/>
            <w:shd w:fill="F8FAFC"/>
            <w:tcMar>
              <w:top w:w="100" w:type="dxa"/>
              <w:bottom w:w="100" w:type="dxa"/>
              <w:left w:w="150" w:type="dxa"/>
              <w:right w:w="150" w:type="dxa"/>
            </w:tcMar>
          </w:tcPr>
          <w:p>
            <w:r>
              <w:rPr>
                <w:rFonts w:ascii="Arial" w:hAnsi="Arial"/>
                <w:color w:val="334155"/>
                <w:sz w:val="18"/>
              </w:rPr>
              <w:t>Tailwind CSS</w:t>
            </w:r>
          </w:p>
        </w:tc>
        <w:tc>
          <w:tcPr>
            <w:tcW w:type="dxa" w:w="3168"/>
            <w:shd w:fill="F8FAFC"/>
            <w:tcMar>
              <w:top w:w="100" w:type="dxa"/>
              <w:bottom w:w="100" w:type="dxa"/>
              <w:left w:w="150" w:type="dxa"/>
              <w:right w:w="150" w:type="dxa"/>
            </w:tcMar>
          </w:tcPr>
          <w:p>
            <w:r>
              <w:rPr>
                <w:rFonts w:ascii="Arial" w:hAnsi="Arial"/>
                <w:color w:val="334155"/>
                <w:sz w:val="18"/>
              </w:rPr>
              <w:t>v4.x</w:t>
            </w:r>
          </w:p>
        </w:tc>
        <w:tc>
          <w:tcPr>
            <w:tcW w:type="dxa" w:w="4752"/>
            <w:shd w:fill="F8FAFC"/>
            <w:tcMar>
              <w:top w:w="100" w:type="dxa"/>
              <w:bottom w:w="100" w:type="dxa"/>
              <w:left w:w="150" w:type="dxa"/>
              <w:right w:w="150" w:type="dxa"/>
            </w:tcMar>
          </w:tcPr>
          <w:p>
            <w:r>
              <w:rPr>
                <w:rFonts w:ascii="Arial" w:hAnsi="Arial"/>
                <w:color w:val="334155"/>
                <w:sz w:val="18"/>
              </w:rPr>
              <w:t>Kerangka kerja CSS responsif, memungkinkan penataan UI premium bergaya modern perbankan (Dark Mode support).</w:t>
            </w:r>
          </w:p>
        </w:tc>
      </w:tr>
      <w:tr>
        <w:tc>
          <w:tcPr>
            <w:tcW w:type="dxa" w:w="2160"/>
            <w:shd w:fill="FFFFFF"/>
            <w:tcMar>
              <w:top w:w="100" w:type="dxa"/>
              <w:bottom w:w="100" w:type="dxa"/>
              <w:left w:w="150" w:type="dxa"/>
              <w:right w:w="150" w:type="dxa"/>
            </w:tcMar>
          </w:tcPr>
          <w:p>
            <w:r>
              <w:rPr>
                <w:rFonts w:ascii="Arial" w:hAnsi="Arial"/>
                <w:color w:val="334155"/>
                <w:sz w:val="18"/>
              </w:rPr>
              <w:t>Lucide React</w:t>
            </w:r>
          </w:p>
        </w:tc>
        <w:tc>
          <w:tcPr>
            <w:tcW w:type="dxa" w:w="3168"/>
            <w:shd w:fill="FFFFFF"/>
            <w:tcMar>
              <w:top w:w="100" w:type="dxa"/>
              <w:bottom w:w="100" w:type="dxa"/>
              <w:left w:w="150" w:type="dxa"/>
              <w:right w:w="150" w:type="dxa"/>
            </w:tcMar>
          </w:tcPr>
          <w:p>
            <w:r>
              <w:rPr>
                <w:rFonts w:ascii="Arial" w:hAnsi="Arial"/>
                <w:color w:val="334155"/>
                <w:sz w:val="18"/>
              </w:rPr>
              <w:t>v0.400+</w:t>
            </w:r>
          </w:p>
        </w:tc>
        <w:tc>
          <w:tcPr>
            <w:tcW w:type="dxa" w:w="4752"/>
            <w:shd w:fill="FFFFFF"/>
            <w:tcMar>
              <w:top w:w="100" w:type="dxa"/>
              <w:bottom w:w="100" w:type="dxa"/>
              <w:left w:w="150" w:type="dxa"/>
              <w:right w:w="150" w:type="dxa"/>
            </w:tcMar>
          </w:tcPr>
          <w:p>
            <w:r>
              <w:rPr>
                <w:rFonts w:ascii="Arial" w:hAnsi="Arial"/>
                <w:color w:val="334155"/>
                <w:sz w:val="18"/>
              </w:rPr>
              <w:t>Penyedia ikon antarmuka yang tajam dan seragam untuk memperkaya visualisasi navigasi.</w:t>
            </w:r>
          </w:p>
        </w:tc>
      </w:tr>
      <w:tr>
        <w:tc>
          <w:tcPr>
            <w:tcW w:type="dxa" w:w="2160"/>
            <w:shd w:fill="F8FAFC"/>
            <w:tcMar>
              <w:top w:w="100" w:type="dxa"/>
              <w:bottom w:w="100" w:type="dxa"/>
              <w:left w:w="150" w:type="dxa"/>
              <w:right w:w="150" w:type="dxa"/>
            </w:tcMar>
          </w:tcPr>
          <w:p>
            <w:r>
              <w:rPr>
                <w:rFonts w:ascii="Arial" w:hAnsi="Arial"/>
                <w:color w:val="334155"/>
                <w:sz w:val="18"/>
              </w:rPr>
              <w:t>Prisma Connection Proxy</w:t>
            </w:r>
          </w:p>
        </w:tc>
        <w:tc>
          <w:tcPr>
            <w:tcW w:type="dxa" w:w="3168"/>
            <w:shd w:fill="F8FAFC"/>
            <w:tcMar>
              <w:top w:w="100" w:type="dxa"/>
              <w:bottom w:w="100" w:type="dxa"/>
              <w:left w:w="150" w:type="dxa"/>
              <w:right w:w="150" w:type="dxa"/>
            </w:tcMar>
          </w:tcPr>
          <w:p>
            <w:r>
              <w:rPr>
                <w:rFonts w:ascii="Arial" w:hAnsi="Arial"/>
                <w:color w:val="334155"/>
                <w:sz w:val="18"/>
              </w:rPr>
              <w:t>Custom (lib/db.ts)</w:t>
            </w:r>
          </w:p>
        </w:tc>
        <w:tc>
          <w:tcPr>
            <w:tcW w:type="dxa" w:w="4752"/>
            <w:shd w:fill="F8FAFC"/>
            <w:tcMar>
              <w:top w:w="100" w:type="dxa"/>
              <w:bottom w:w="100" w:type="dxa"/>
              <w:left w:w="150" w:type="dxa"/>
              <w:right w:w="150" w:type="dxa"/>
            </w:tcMar>
          </w:tcPr>
          <w:p>
            <w:r>
              <w:rPr>
                <w:rFonts w:ascii="Arial" w:hAnsi="Arial"/>
                <w:color w:val="334155"/>
                <w:sz w:val="18"/>
              </w:rPr>
              <w:t>Mencegah kebocoran koneksi pool ke PostgreSQL pada server Next.js dev hot-reload dengan me-refresh instansi secara dinamis.</w:t>
            </w:r>
          </w:p>
        </w:tc>
      </w:tr>
    </w:tbl>
    <w:p>
      <w:pPr>
        <w:spacing w:before="0" w:after="120"/>
      </w:pPr>
    </w:p>
    <w:p>
      <w:pPr>
        <w:pStyle w:val="Heading1"/>
        <w:keepNext/>
        <w:spacing w:before="360" w:after="120"/>
      </w:pPr>
      <w:r>
        <w:rPr>
          <w:rFonts w:ascii="Arial" w:hAnsi="Arial"/>
          <w:b/>
          <w:i w:val="0"/>
          <w:color w:val="0F172A"/>
          <w:sz w:val="36"/>
        </w:rPr>
        <w:t>9. Rencana Verifikasi &amp; Uji Sistem</w:t>
      </w:r>
    </w:p>
    <w:p>
      <w:pPr>
        <w:spacing w:before="0" w:after="120" w:line="276" w:lineRule="auto"/>
      </w:pPr>
      <w:r>
        <w:rPr>
          <w:rFonts w:ascii="Arial" w:hAnsi="Arial"/>
          <w:b w:val="0"/>
          <w:i w:val="0"/>
          <w:color w:val="334155"/>
          <w:sz w:val="20"/>
        </w:rPr>
        <w:t>Sebelum dirilis ke server produksi Bank SulutGo, sistem E-Arsip Nota harus melewati serangkaian tahap pengujian mutu sebagai berikut:</w:t>
      </w:r>
    </w:p>
    <w:p>
      <w:pPr>
        <w:spacing w:before="0" w:after="80" w:line="276" w:lineRule="auto"/>
        <w:ind w:left="360"/>
      </w:pPr>
      <w:r>
        <w:rPr>
          <w:rFonts w:ascii="Arial" w:hAnsi="Arial"/>
          <w:b/>
          <w:i w:val="0"/>
          <w:color w:val="334155"/>
          <w:sz w:val="20"/>
        </w:rPr>
        <w:t xml:space="preserve">1. </w:t>
      </w:r>
      <w:r>
        <w:rPr>
          <w:rFonts w:ascii="Arial" w:hAnsi="Arial"/>
          <w:b/>
          <w:i w:val="0"/>
          <w:color w:val="334155"/>
          <w:sz w:val="20"/>
        </w:rPr>
        <w:t xml:space="preserve">Uji Kompilasi Kode (Build Compilation): </w:t>
      </w:r>
      <w:r>
        <w:rPr>
          <w:rFonts w:ascii="Arial" w:hAnsi="Arial"/>
          <w:b w:val="0"/>
          <w:i w:val="0"/>
          <w:color w:val="334155"/>
          <w:sz w:val="20"/>
        </w:rPr>
        <w:t>Menjalankan proses kompilasi kode Next.js menggunakan 'npm run build' atau 'pnpm build'. Seluruh file TypeScript, komponen antarmuka, dan server actions harus dikompilasi tanpa adanya peringatan error.</w:t>
      </w:r>
    </w:p>
    <w:p>
      <w:pPr>
        <w:spacing w:before="0" w:after="80" w:line="276" w:lineRule="auto"/>
        <w:ind w:left="360"/>
      </w:pPr>
      <w:r>
        <w:rPr>
          <w:rFonts w:ascii="Arial" w:hAnsi="Arial"/>
          <w:b/>
          <w:i w:val="0"/>
          <w:color w:val="334155"/>
          <w:sz w:val="20"/>
        </w:rPr>
        <w:t xml:space="preserve">2. </w:t>
      </w:r>
      <w:r>
        <w:rPr>
          <w:rFonts w:ascii="Arial" w:hAnsi="Arial"/>
          <w:b/>
          <w:i w:val="0"/>
          <w:color w:val="334155"/>
          <w:sz w:val="20"/>
        </w:rPr>
        <w:t xml:space="preserve">Uji Integrasi Logika Bisnis: </w:t>
      </w:r>
      <w:r>
        <w:rPr>
          <w:rFonts w:ascii="Arial" w:hAnsi="Arial"/>
          <w:b w:val="0"/>
          <w:i w:val="0"/>
          <w:color w:val="334155"/>
          <w:sz w:val="20"/>
        </w:rPr>
        <w:t>Uji integrasi terhadap fungsi auto-increment nomor bukti nota berbasis kode username petugas, cascading dropdown lokasi fisik Rak-&gt;Dus-&gt;Map, serta mekanisme rollback transaksi database jika input massal gagal.</w:t>
      </w:r>
    </w:p>
    <w:p>
      <w:pPr>
        <w:spacing w:before="0" w:after="80" w:line="276" w:lineRule="auto"/>
        <w:ind w:left="360"/>
      </w:pPr>
      <w:r>
        <w:rPr>
          <w:rFonts w:ascii="Arial" w:hAnsi="Arial"/>
          <w:b/>
          <w:i w:val="0"/>
          <w:color w:val="334155"/>
          <w:sz w:val="20"/>
        </w:rPr>
        <w:t xml:space="preserve">3. </w:t>
      </w:r>
      <w:r>
        <w:rPr>
          <w:rFonts w:ascii="Arial" w:hAnsi="Arial"/>
          <w:b/>
          <w:i w:val="0"/>
          <w:color w:val="334155"/>
          <w:sz w:val="20"/>
        </w:rPr>
        <w:t xml:space="preserve">Uji Antarmuka Pengguna (UI E2E Testing): </w:t>
      </w:r>
      <w:r>
        <w:rPr>
          <w:rFonts w:ascii="Arial" w:hAnsi="Arial"/>
          <w:b w:val="0"/>
          <w:i w:val="0"/>
          <w:color w:val="334155"/>
          <w:sz w:val="20"/>
        </w:rPr>
        <w:t>Pengujian fungsionalitas UI secara menyeluruh dengan simulasi input nota tunggal/massal, pengisian file scan, persetujuan Admin, dan siklus peminjaman fisik.</w:t>
      </w:r>
    </w:p>
    <w:p>
      <w:pPr>
        <w:spacing w:before="0" w:after="120" w:line="276" w:lineRule="auto"/>
      </w:pPr>
      <w:r>
        <w:rPr>
          <w:rFonts w:ascii="Arial" w:hAnsi="Arial"/>
          <w:b w:val="0"/>
          <w:i/>
          <w:color w:val="334155"/>
          <w:sz w:val="20"/>
        </w:rPr>
        <w:t>Uji verifikasi ini dirancang untuk meminimalisasi bug pasca-rilis, menjaga kelancaran operasional departemen kearsipan PT. Bank SulutGo secara konsisten.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