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20E" w14:textId="77777777" w:rsidR="00D61F67" w:rsidRPr="00D61F67" w:rsidRDefault="00D61F67" w:rsidP="00D61F67">
      <w:pPr>
        <w:pStyle w:val="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14:paraId="5CC78A87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a9"/>
          </w:rPr>
          <w:t>https://judge.softuni.bg/Contests/1475/Generics-Exercises</w:t>
        </w:r>
      </w:hyperlink>
      <w:hyperlink r:id="rId10" w:anchor="3" w:history="1"/>
    </w:p>
    <w:p w14:paraId="6E1A35F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ac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1E2E3D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1E2E3D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5358C593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  <w:r w:rsidR="00563A32">
        <w:tab/>
      </w:r>
      <w:r w:rsidR="00F0704C">
        <w:tab/>
      </w:r>
    </w:p>
    <w:p w14:paraId="4DE35933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25E1E08E" w14:textId="77777777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ac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1E2E3D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1E2E3D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14:paraId="6705475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14:paraId="508ECBD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14:paraId="112DEA6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2985D38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0E10835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14:paraId="2A8A606B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Pr="00D61F67">
        <w:rPr>
          <w:rFonts w:ascii="Consolas" w:hAnsi="Consolas"/>
          <w:b/>
          <w:noProof/>
        </w:rPr>
        <w:t>Box 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lastRenderedPageBreak/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3BAEEF7B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a9"/>
            <w:rFonts w:ascii="Consolas" w:hAnsi="Consolas"/>
            <w:b/>
            <w:bCs/>
          </w:rPr>
          <w:t>Tuple</w:t>
        </w:r>
      </w:hyperlink>
      <w:r w:rsidRPr="00D61F67">
        <w:t xml:space="preserve"> is a class in </w:t>
      </w:r>
      <w:proofErr w:type="gramStart"/>
      <w:r w:rsidRPr="00D61F67">
        <w:t>C#</w:t>
      </w:r>
      <w:r w:rsidR="00A71197">
        <w:rPr>
          <w:lang w:val="bg-BG"/>
        </w:rPr>
        <w:t xml:space="preserve"> </w:t>
      </w:r>
      <w:r w:rsidRPr="00D61F67">
        <w:t>,</w:t>
      </w:r>
      <w:proofErr w:type="gramEnd"/>
      <w:r w:rsidRPr="00D61F67">
        <w:t xml:space="preserve">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bookmarkStart w:id="3" w:name="__DdeLink__1787_1236768407"/>
      <w:bookmarkEnd w:id="3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4FA40F2A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  <w:r w:rsidR="003E2CE1">
        <w:rPr>
          <w:rFonts w:eastAsia="MS Mincho"/>
          <w:lang w:eastAsia="ja-JP"/>
        </w:rPr>
        <w:tab/>
      </w:r>
    </w:p>
    <w:p w14:paraId="2B01026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14:paraId="5FFE7E1A" w14:textId="77777777" w:rsidR="00D61F67" w:rsidRPr="00D61F67" w:rsidRDefault="00D61F67" w:rsidP="00D61F67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1E2E3D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1E2E3D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ac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ac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ac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2"/>
      </w:pPr>
      <w:r w:rsidRPr="001E2E3D">
        <w:lastRenderedPageBreak/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030DA" w14:textId="77777777" w:rsidR="00B9162B" w:rsidRDefault="00B9162B" w:rsidP="008068A2">
      <w:pPr>
        <w:spacing w:after="0" w:line="240" w:lineRule="auto"/>
      </w:pPr>
      <w:r>
        <w:separator/>
      </w:r>
    </w:p>
  </w:endnote>
  <w:endnote w:type="continuationSeparator" w:id="0">
    <w:p w14:paraId="132A1214" w14:textId="77777777" w:rsidR="00B9162B" w:rsidRDefault="00B916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9F04" w14:textId="77777777" w:rsidR="00B9162B" w:rsidRDefault="00B9162B" w:rsidP="008068A2">
      <w:pPr>
        <w:spacing w:after="0" w:line="240" w:lineRule="auto"/>
      </w:pPr>
      <w:r>
        <w:separator/>
      </w:r>
    </w:p>
  </w:footnote>
  <w:footnote w:type="continuationSeparator" w:id="0">
    <w:p w14:paraId="0A3C2421" w14:textId="77777777" w:rsidR="00B9162B" w:rsidRDefault="00B916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E1013"/>
    <w:rsid w:val="003E167F"/>
    <w:rsid w:val="003E2A3C"/>
    <w:rsid w:val="003E2CE1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A3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197"/>
    <w:rsid w:val="00A847D3"/>
    <w:rsid w:val="00AA3772"/>
    <w:rsid w:val="00AB106E"/>
    <w:rsid w:val="00AB2224"/>
    <w:rsid w:val="00AC36D6"/>
    <w:rsid w:val="00AC60FE"/>
    <w:rsid w:val="00AC77AD"/>
    <w:rsid w:val="00AC7E8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62B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04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C2C78-AB1A-46B1-8C36-146074F6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9</cp:revision>
  <cp:lastPrinted>2015-10-26T22:35:00Z</cp:lastPrinted>
  <dcterms:created xsi:type="dcterms:W3CDTF">2019-11-12T12:29:00Z</dcterms:created>
  <dcterms:modified xsi:type="dcterms:W3CDTF">2021-02-13T20:33:00Z</dcterms:modified>
  <cp:category>c#; advanced; computer programming; programming</cp:category>
</cp:coreProperties>
</file>