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Agatbe Thymoty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7-1 01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Agatbe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Thymoty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Thymoty</w:t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7-1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01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>Jakarta 19 01 2005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8745.agatbe@smp.kanisius.edu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  <w:t>012182480619</w:t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  <w:t>081296365009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>Togar Sihombing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  <w:t>081398909563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Ratna Manik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081314844091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7-1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  <w:t>7</w:t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>3</w:t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  <w:t>Tidak Pernah</w:t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Ya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  <w:t>Demam</w:t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  <w:t>2008</w:t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  <w:t>1 minggu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  <w:t>Sepak bola</w:t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Musik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  <w:t>Gereja, bina iman</w:t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>Untuk meminta berkat dan terima kasih atas kesehatan yang sudah diberikan</w:t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Mengucap syukur dan agar diberi kesehatan untuk menjalankan aktivitas aktivitas yang akan dilakukan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  <w:t>Bagi saya, arti pemimpin itu adalah orang yang berusaha memberikan contoh yang baik kepada anggota anggotanya dan mempunyai sikap yang adil dan bijaksana dan bisa meemimpin teman teman dengan baik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  <w:t>Presidium Legionnaire menurut saya adalah osis di sekolah smp kolese kanisius jakarta. Presidium legionnare adalah orang orang yang mengatur beberapa aktivitas aktivitas yang akan dilakukan diskolah maupun diluar sekolah.</w:t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Saya tertarik karena bisa menambah wawasan berpikir, menambah pengetahuan dan juga meningkatkan sifat kepeminpinan. Saya juga tertarik karena seragam presidium Legionnare sangat keren.</w:t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7-1: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Membawa semua teman menjadi tim kerja yg hebat dan kompak dlm setiap kegiatan sekolah dan juga dapat saling mensupport .</w:t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7-1: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Membawa OSIS Kolose Kanasius turut berpartisipasi aktif  di lingkungan SMP DKI </w:t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Nationality Building. Alasannya adalah agar bisa menumbuhkan rasa nasionalisme</w:t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Saya memilih rapat, karena saya lebih memilih untuk memenuhi kebutuhan bersama terlebih dahulu baru kepentingan pribadi</w:t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