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926" w:rsidRDefault="00297926" w:rsidP="00297926">
      <w:pPr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421B30F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Table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4</w:t>
      </w:r>
      <w:r w:rsidRPr="421B30F7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: 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Results for hypotheses of aim 2a.</w:t>
      </w:r>
    </w:p>
    <w:tbl>
      <w:tblPr>
        <w:tblW w:w="100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6"/>
        <w:gridCol w:w="2576"/>
        <w:gridCol w:w="3394"/>
        <w:gridCol w:w="1295"/>
        <w:gridCol w:w="961"/>
        <w:gridCol w:w="988"/>
      </w:tblGrid>
      <w:tr w:rsidR="00297926" w:rsidRPr="005C6FE4" w:rsidTr="000E2594">
        <w:trPr>
          <w:trHeight w:val="501"/>
        </w:trPr>
        <w:tc>
          <w:tcPr>
            <w:tcW w:w="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Hypothesis</w:t>
            </w:r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br/>
            </w:r>
            <w:proofErr w:type="spellStart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Number</w:t>
            </w:r>
            <w:proofErr w:type="spellEnd"/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Result</w:t>
            </w:r>
            <w:proofErr w:type="spellEnd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from</w:t>
            </w:r>
            <w:proofErr w:type="spellEnd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reference</w:t>
            </w:r>
            <w:proofErr w:type="spellEnd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study</w:t>
            </w:r>
            <w:proofErr w:type="spellEnd"/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Hypothesis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n-US" w:eastAsia="de-DE"/>
              </w:rPr>
            </w:pPr>
            <w:r w:rsidRPr="00F6220D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en-US" w:eastAsia="de-DE"/>
              </w:rPr>
              <w:t>Specification of DA-test or method: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297926" w:rsidRPr="005C6FE4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5C6FE4"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metaSPARSim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297926" w:rsidRPr="005C6FE4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4"/>
                <w:szCs w:val="14"/>
                <w:lang w:val="de-DE" w:eastAsia="de-DE"/>
              </w:rPr>
              <w:t>sparseDOSSA2</w:t>
            </w:r>
          </w:p>
        </w:tc>
      </w:tr>
      <w:tr w:rsidR="00297926" w:rsidRPr="005C6FE4" w:rsidTr="000E2594">
        <w:trPr>
          <w:trHeight w:val="7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"Based on the unfiltered data,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methods identified similar sets of significant ASVs that were different from those of most other tools."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 the proportion of features jointly found as significant by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TMM and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TMMwsp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but by less than 50% of the other methods, is larger than the overlap with more than 50% of the other methods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(TMM) &amp;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TMMwsp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0,9888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0,9864</w:t>
            </w:r>
          </w:p>
        </w:tc>
      </w:tr>
      <w:tr w:rsidR="00297926" w:rsidRPr="005C6FE4" w:rsidTr="000E2594">
        <w:trPr>
          <w:trHeight w:val="468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"[For UNFILTERED data] Both MaAsLin2 approaches had similar consistency profiles."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data, MaAsLin2 and MaAsLin2-rare have a more similar profile (larger test statistic D) than a randomly selected pair of methods.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MaAsLin2 &amp; MaAsLin2 (rare)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0,6615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0,9645</w:t>
            </w:r>
          </w:p>
        </w:tc>
      </w:tr>
      <w:tr w:rsidR="00297926" w:rsidRPr="005C6FE4" w:rsidTr="000E2594">
        <w:trPr>
          <w:trHeight w:val="33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H7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"[For UNFILTERED data] Corncob,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metagenomeSeq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, and DESeq2 identified ASVs at more intermediate consistency profiles."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data, for </w:t>
            </w:r>
            <w:r w:rsidRPr="00F6220D">
              <w:rPr>
                <w:rFonts w:ascii="Calibri (Body)" w:hAnsi="Calibri (Body)" w:cs="Calibri"/>
                <w:color w:val="000000"/>
                <w:sz w:val="12"/>
                <w:szCs w:val="12"/>
                <w:lang w:val="en-US" w:eastAsia="de-DE"/>
              </w:rPr>
              <w:t>corncob,</w:t>
            </w:r>
            <w:r w:rsidRPr="00F6220D">
              <w:rPr>
                <w:rFonts w:ascii="Calibri (Body)" w:hAnsi="Calibri (Body)" w:cs="Calibri"/>
                <w:color w:val="FF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metagenomeSeq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, and DESeq2, there are always multiple other methods (i.e. at least 2 out of 10 other DA methods) that have a more extreme consistency profile.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corncob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0,8083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0,6212</w:t>
            </w:r>
          </w:p>
        </w:tc>
      </w:tr>
      <w:tr w:rsidR="00297926" w:rsidRPr="005C6FE4" w:rsidTr="000E2594">
        <w:trPr>
          <w:trHeight w:val="33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H7.1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DESeq2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0,8140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0,7472</w:t>
            </w:r>
          </w:p>
        </w:tc>
      </w:tr>
      <w:tr w:rsidR="00297926" w:rsidRPr="005C6FE4" w:rsidTr="000E2594">
        <w:trPr>
          <w:trHeight w:val="33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H7.2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metagenomeSeq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0,4782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0,9191</w:t>
            </w:r>
          </w:p>
        </w:tc>
      </w:tr>
      <w:tr w:rsidR="00297926" w:rsidRPr="005C6FE4" w:rsidTr="000E2594">
        <w:trPr>
          <w:trHeight w:val="5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H8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"The overlap in significant ASVs based on the prevalence-filtered data was similar overall to the unfiltered data results." 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The shape of the overlap profiles for all methods except both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approaches is mainly determined by the exp. dataset and the DA method but only little of the fact whether data has been filtered.</w:t>
            </w: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br/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Filt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vs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unfilt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(dataset[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i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], DA-test[j])</w:t>
            </w: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br/>
              <w:t>compared to ...</w:t>
            </w: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br/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i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: 1..380, j:1..14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…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other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unfiltered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datasets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0,8299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0,7313</w:t>
            </w:r>
          </w:p>
        </w:tc>
      </w:tr>
      <w:tr w:rsidR="00297926" w:rsidRPr="005C6FE4" w:rsidTr="000E2594">
        <w:trPr>
          <w:trHeight w:val="38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H8.1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…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other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filtered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datasets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0,8231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0,7195</w:t>
            </w:r>
          </w:p>
        </w:tc>
      </w:tr>
      <w:tr w:rsidR="00297926" w:rsidRPr="005C6FE4" w:rsidTr="000E2594">
        <w:trPr>
          <w:trHeight w:val="38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H8.2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>… other DA tests in unfiltered data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0,7929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0,8079</w:t>
            </w:r>
          </w:p>
        </w:tc>
      </w:tr>
      <w:tr w:rsidR="00297926" w:rsidRPr="005C6FE4" w:rsidTr="000E2594">
        <w:trPr>
          <w:trHeight w:val="38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H8.3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 xml:space="preserve">… other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>dA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 xml:space="preserve"> tests in filtered data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0,8206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0,7956</w:t>
            </w:r>
          </w:p>
        </w:tc>
      </w:tr>
      <w:tr w:rsidR="00297926" w:rsidRPr="005C6FE4" w:rsidTr="000E2594">
        <w:trPr>
          <w:trHeight w:val="3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H9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"For prevalence-filtered data, the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approaches identified a much higher proportion of ASVs that were also identified by most other tools, compared with the unfiltered data." 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filtered data, for both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approaches the proportion of identified features that are also identified by the majority of other tests is larger than for un-filtered data.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(TMM)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0,6421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0,6376</w:t>
            </w:r>
          </w:p>
        </w:tc>
      </w:tr>
      <w:tr w:rsidR="00297926" w:rsidRPr="005C6FE4" w:rsidTr="000E2594">
        <w:trPr>
          <w:trHeight w:val="38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H9.1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TMMwsp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0,6239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0,6454</w:t>
            </w:r>
          </w:p>
        </w:tc>
      </w:tr>
      <w:tr w:rsidR="00297926" w:rsidRPr="005C6FE4" w:rsidTr="000E2594">
        <w:trPr>
          <w:trHeight w:val="7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H10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7926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"[For FILTERED data] The Wilcoxon (CLR) significant ASVs displayed a bimodal distribution and a strong overlap with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methods."</w:t>
            </w:r>
          </w:p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For FILTERED data, the overlap profile of Wilcoxon CLR is bimodal.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Wilcoxon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(CLR)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0,7070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0,7707</w:t>
            </w:r>
          </w:p>
        </w:tc>
      </w:tr>
      <w:tr w:rsidR="00297926" w:rsidRPr="005C6FE4" w:rsidTr="000E2594">
        <w:trPr>
          <w:trHeight w:val="7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H5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"[For UNFILTERED data] ALDEx2 and ANCOM-II primarily identified features that were also identified by almost all other methods."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For UNFILTERED data, ALDEx2 and ANCOM-II identify more features that were also identified by all except 3 (i.e. 10 out of 13) other methods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ALDEx2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0,5300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0,5998</w:t>
            </w:r>
          </w:p>
        </w:tc>
      </w:tr>
      <w:tr w:rsidR="00297926" w:rsidRPr="005C6FE4" w:rsidTr="000E2594">
        <w:trPr>
          <w:trHeight w:val="3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H5.1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ANCOM-II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0,0633</w:t>
            </w:r>
          </w:p>
        </w:tc>
      </w:tr>
      <w:tr w:rsidR="00297926" w:rsidRPr="005C6FE4" w:rsidTr="000E2594">
        <w:trPr>
          <w:trHeight w:val="62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"[For UNFILTERED data] The two Wilcoxon test approaches had highly different consistency profiles."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data, the Kolmogorov-Smirnov test statistic D when comparing the profile for Wilcoxon CLR and Wilcoxon rare is larger than for other pairs of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methodson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average.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Wilcoxon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(CLR) </w:t>
            </w: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br/>
              <w:t xml:space="preserve">&amp;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Wilcoxon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 xml:space="preserve"> (rare)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0,4404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0,7205</w:t>
            </w:r>
          </w:p>
        </w:tc>
      </w:tr>
      <w:tr w:rsidR="00297926" w:rsidRPr="005C6FE4" w:rsidTr="000E2594">
        <w:trPr>
          <w:trHeight w:val="864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H2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"[For UNFILTERED data]Many of the ASVs die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ntified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by the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 methods were also identified as significant based on the Wilcoxon (CLR) approach."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 the overlap of features jointly found as significant by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TMM and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voom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TMMwsp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with features found by Wilcoxon CLR is larger than the overlap with all other DA methods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 xml:space="preserve">both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>limma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>vooms</w:t>
            </w:r>
            <w:proofErr w:type="spellEnd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 xml:space="preserve"> </w:t>
            </w: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br/>
              <w:t>&amp; Wilcoxon (CLR)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0,1481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0,2149</w:t>
            </w:r>
          </w:p>
        </w:tc>
      </w:tr>
      <w:tr w:rsidR="00297926" w:rsidRPr="005C6FE4" w:rsidTr="000E2594">
        <w:trPr>
          <w:trHeight w:val="5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H6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"[For UNFILTERED data]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EdgeR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and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LEfSe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, two tools that often identified the most significant ASVs, output the highest percentage of ASVs that were not identified by any other tool."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UNFILTERED data,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EdgeR</w:t>
            </w:r>
            <w:proofErr w:type="spellEnd"/>
            <w:r w:rsidRPr="00F6220D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and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LEfSe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identify a larger percentage of features that are not identified by any other tool, compared to the same percentage for all other methods.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EdgeR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0,1736</w:t>
            </w:r>
          </w:p>
        </w:tc>
      </w:tr>
      <w:tr w:rsidR="00297926" w:rsidRPr="005C6FE4" w:rsidTr="000E2594">
        <w:trPr>
          <w:trHeight w:val="576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H6.1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LEfSe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</w:t>
            </w:r>
          </w:p>
        </w:tc>
      </w:tr>
      <w:tr w:rsidR="00297926" w:rsidRPr="005C6FE4" w:rsidTr="000E2594">
        <w:trPr>
          <w:trHeight w:val="780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H11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 xml:space="preserve">"Overall, the proportion of ASVs consistently identified as significant by more than 12 tools was much higher in the filtered data (mean: 38.6%; SD: 15.8%) compared with the unfiltered data (mean: 17.3%; SD: 22.1%)."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The proportion of features identified by all except one DA method is larger for prevalence-filtered data.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en-US" w:eastAsia="de-DE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0,5161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0,5501</w:t>
            </w:r>
          </w:p>
        </w:tc>
      </w:tr>
      <w:tr w:rsidR="00297926" w:rsidRPr="005C6FE4" w:rsidTr="000E2594">
        <w:trPr>
          <w:trHeight w:val="3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H12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"In contrast with the unfiltered results, corncob,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metagenomeSeq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, and DESeq2 had lower proportions of ASVs at intermediate consistency ranks." 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For filtered data, the consistency profiles of </w:t>
            </w:r>
            <w:r w:rsidRPr="00F6220D">
              <w:rPr>
                <w:rFonts w:ascii="Calibri (Body)" w:hAnsi="Calibri (Body)" w:cs="Calibri"/>
                <w:color w:val="000000"/>
                <w:sz w:val="12"/>
                <w:szCs w:val="12"/>
                <w:lang w:val="en-US" w:eastAsia="de-DE"/>
              </w:rPr>
              <w:t>corncob</w:t>
            </w:r>
            <w:r w:rsidRPr="00F6220D">
              <w:rPr>
                <w:rFonts w:ascii="Calibri" w:hAnsi="Calibri" w:cs="Calibri"/>
                <w:b/>
                <w:bCs/>
                <w:color w:val="000000"/>
                <w:sz w:val="12"/>
                <w:szCs w:val="12"/>
                <w:lang w:val="en-US" w:eastAsia="de-DE"/>
              </w:rPr>
              <w:t>,</w:t>
            </w: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 xml:space="preserve"> </w:t>
            </w:r>
            <w:proofErr w:type="spellStart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metagenomeSeq</w:t>
            </w:r>
            <w:proofErr w:type="spellEnd"/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, and DESeq2 are more similar to the more extreme methods than for unfiltered data.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corncob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0,0276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0,0043</w:t>
            </w:r>
          </w:p>
        </w:tc>
      </w:tr>
      <w:tr w:rsidR="00297926" w:rsidRPr="005C6FE4" w:rsidTr="000E2594">
        <w:trPr>
          <w:trHeight w:val="3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H12.1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DESeq2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0,0066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0,0066</w:t>
            </w:r>
          </w:p>
        </w:tc>
      </w:tr>
      <w:tr w:rsidR="00297926" w:rsidRPr="005C6FE4" w:rsidTr="000E2594">
        <w:trPr>
          <w:trHeight w:val="31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H12.2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proofErr w:type="spellStart"/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metagenomeSeq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 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0,0245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0,0191</w:t>
            </w:r>
          </w:p>
        </w:tc>
      </w:tr>
      <w:tr w:rsidR="00297926" w:rsidRPr="005C6FE4" w:rsidTr="000E2594">
        <w:trPr>
          <w:trHeight w:val="163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t>H13</w:t>
            </w:r>
          </w:p>
        </w:tc>
        <w:tc>
          <w:tcPr>
            <w:tcW w:w="26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222222"/>
                <w:sz w:val="12"/>
                <w:szCs w:val="12"/>
                <w:lang w:val="en-US" w:eastAsia="de-DE"/>
              </w:rPr>
              <w:t>"[For FILTERED data] ALDEx2 and ANCOM-II produce significant ASVs that largely overlapped with most other tools."</w:t>
            </w:r>
          </w:p>
        </w:tc>
        <w:tc>
          <w:tcPr>
            <w:tcW w:w="34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</w:pPr>
            <w:r w:rsidRPr="00F6220D">
              <w:rPr>
                <w:rFonts w:ascii="Calibri" w:hAnsi="Calibri" w:cs="Calibri"/>
                <w:color w:val="000000"/>
                <w:sz w:val="12"/>
                <w:szCs w:val="12"/>
                <w:lang w:val="en-US" w:eastAsia="de-DE"/>
              </w:rPr>
              <w:t>For FILTERED data, ALDEx2 and ANCOM-II identify more features that were also identified by all except 3 (i.e. 10 out of 13) other methods.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ALDEx2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0,4412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0,4571</w:t>
            </w:r>
          </w:p>
        </w:tc>
      </w:tr>
      <w:tr w:rsidR="00297926" w:rsidRPr="005C6FE4" w:rsidTr="000E2594">
        <w:trPr>
          <w:trHeight w:val="492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7926" w:rsidRPr="00131DA6" w:rsidRDefault="00297926" w:rsidP="000E25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</w:pPr>
            <w:r w:rsidRPr="00131DA6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de-DE" w:eastAsia="de-DE"/>
              </w:rPr>
              <w:lastRenderedPageBreak/>
              <w:t>H13.1</w:t>
            </w:r>
          </w:p>
        </w:tc>
        <w:tc>
          <w:tcPr>
            <w:tcW w:w="26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222222"/>
                <w:sz w:val="12"/>
                <w:szCs w:val="12"/>
                <w:lang w:val="de-DE" w:eastAsia="de-DE"/>
              </w:rPr>
            </w:pPr>
          </w:p>
        </w:tc>
        <w:tc>
          <w:tcPr>
            <w:tcW w:w="34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97926" w:rsidRPr="00131DA6" w:rsidRDefault="00297926" w:rsidP="000E2594">
            <w:pPr>
              <w:rPr>
                <w:rFonts w:ascii="Calibri" w:hAnsi="Calibri" w:cs="Calibri"/>
                <w:color w:val="000000"/>
                <w:sz w:val="12"/>
                <w:szCs w:val="12"/>
                <w:lang w:val="de-DE" w:eastAsia="de-D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4"/>
                <w:szCs w:val="14"/>
                <w:lang w:val="de-DE" w:eastAsia="de-DE"/>
              </w:rPr>
              <w:t>ANCOM-II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5A5A"/>
            <w:vAlign w:val="center"/>
            <w:hideMark/>
          </w:tcPr>
          <w:p w:rsidR="00297926" w:rsidRPr="00F6220D" w:rsidRDefault="00297926" w:rsidP="000E2594">
            <w:pPr>
              <w:jc w:val="center"/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</w:pP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t xml:space="preserve">CI.LB = </w:t>
            </w:r>
            <w:r w:rsidRPr="00F6220D">
              <w:rPr>
                <w:rFonts w:ascii="Calibri" w:hAnsi="Calibri" w:cs="Calibri"/>
                <w:bCs/>
                <w:color w:val="000000"/>
                <w:sz w:val="12"/>
                <w:szCs w:val="12"/>
                <w:lang w:val="de-DE" w:eastAsia="de-DE"/>
              </w:rPr>
              <w:br/>
              <w:t>0,0578</w:t>
            </w:r>
          </w:p>
        </w:tc>
      </w:tr>
    </w:tbl>
    <w:p w:rsidR="00297926" w:rsidRDefault="00297926"/>
    <w:sectPr w:rsidR="00297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82D" w:rsidRDefault="0019482D" w:rsidP="00297926">
      <w:r>
        <w:separator/>
      </w:r>
    </w:p>
  </w:endnote>
  <w:endnote w:type="continuationSeparator" w:id="0">
    <w:p w:rsidR="0019482D" w:rsidRDefault="0019482D" w:rsidP="00297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(Body)">
    <w:altName w:val="MV Bol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82D" w:rsidRDefault="0019482D" w:rsidP="00297926">
      <w:r>
        <w:separator/>
      </w:r>
    </w:p>
  </w:footnote>
  <w:footnote w:type="continuationSeparator" w:id="0">
    <w:p w:rsidR="0019482D" w:rsidRDefault="0019482D" w:rsidP="002979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26"/>
    <w:rsid w:val="0019482D"/>
    <w:rsid w:val="0029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5F5EEF"/>
  <w15:chartTrackingRefBased/>
  <w15:docId w15:val="{1DBC79A1-33EA-844D-AC0D-A7B30181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926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9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926"/>
    <w:rPr>
      <w:rFonts w:ascii="Times New Roman" w:eastAsia="Times New Roman" w:hAnsi="Times New Roman" w:cs="Times New Roman"/>
      <w:kern w:val="0"/>
      <w:lang w:val="en-GB"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979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926"/>
    <w:rPr>
      <w:rFonts w:ascii="Times New Roman" w:eastAsia="Times New Roman" w:hAnsi="Times New Roman" w:cs="Times New Roman"/>
      <w:kern w:val="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820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Kohnert</dc:creator>
  <cp:keywords/>
  <dc:description/>
  <cp:lastModifiedBy>Eva Kohnert</cp:lastModifiedBy>
  <cp:revision>1</cp:revision>
  <dcterms:created xsi:type="dcterms:W3CDTF">2025-04-08T07:45:00Z</dcterms:created>
  <dcterms:modified xsi:type="dcterms:W3CDTF">2025-04-08T07:47:00Z</dcterms:modified>
</cp:coreProperties>
</file>