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3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Национальный 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257" w:lineRule="auto" w:before="242" w:after="0"/>
        <w:ind w:left="432" w:right="1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ВЫПИСКА из ПРОТОКОЛА №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заседания ученого совета Национального исследовательского университета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«Высшая школа экономики» (НИУ ВШЭ) </w:t>
      </w:r>
    </w:p>
    <w:p>
      <w:pPr>
        <w:autoSpaceDN w:val="0"/>
        <w:autoSpaceDE w:val="0"/>
        <w:widowControl/>
        <w:spacing w:line="264" w:lineRule="auto" w:before="23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Дата проведения: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30.03.2021 (сведения о голосовании принимались до 19 часов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00 минут 30.03.2021) </w:t>
      </w:r>
    </w:p>
    <w:p>
      <w:pPr>
        <w:autoSpaceDN w:val="0"/>
        <w:autoSpaceDE w:val="0"/>
        <w:widowControl/>
        <w:spacing w:line="254" w:lineRule="auto" w:before="294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Повестка дня: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10. О внесении изменений в Порядок назначения и выплаты именных стипендий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НИУ ВШЭ имени выдающихся ученых НИУ ВШЭ </w:t>
      </w:r>
    </w:p>
    <w:p>
      <w:pPr>
        <w:autoSpaceDN w:val="0"/>
        <w:autoSpaceDE w:val="0"/>
        <w:widowControl/>
        <w:spacing w:line="245" w:lineRule="auto" w:before="254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10. СЛУШАЛИ: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Н.Ю. Савельеву – о результатах электронного голосования по вопросу «О внесении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изменений в Порядок назначения и выплаты именных стипендий НИУ ВШЭ имени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выдающихся ученых НИУ ВШЭ»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ПОСТАНОВИЛИ: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10.1. Внести в Порядок назначения и выплаты именных стипендий Национального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исследовательского университета «Высшая школа экономики» имени выдающихся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ученых, утвержденный ученым советом НИУ ВШЭ 27.02.2015, протокол № 02,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введенный в действие приказом НИУ ВШЭ от 07.05.2015 № 6.18.1-01/0705-19,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изменение, дополнив приложение 1 словами: </w:t>
      </w:r>
    </w:p>
    <w:p>
      <w:pPr>
        <w:autoSpaceDN w:val="0"/>
        <w:autoSpaceDE w:val="0"/>
        <w:widowControl/>
        <w:spacing w:line="247" w:lineRule="auto" w:before="244" w:after="0"/>
        <w:ind w:left="97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«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Н.В. Самутина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Культурные исследования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Социология культуры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Киноведение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Исследование фан-сообществ и культур соучастия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Исследование городской культуры.». </w:t>
      </w:r>
    </w:p>
    <w:p>
      <w:pPr>
        <w:autoSpaceDN w:val="0"/>
        <w:autoSpaceDE w:val="0"/>
        <w:widowControl/>
        <w:spacing w:line="262" w:lineRule="auto" w:before="0" w:after="388"/>
        <w:ind w:left="260" w:right="0" w:firstLine="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(из 139 членов ученого совета проголосовало: за – 116, против – 0, воздержалось –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0).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234"/>
        <w:gridCol w:w="3234"/>
        <w:gridCol w:w="3234"/>
      </w:tblGrid>
      <w:tr>
        <w:trPr>
          <w:trHeight w:hRule="exact" w:val="1012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5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Ученый секретарь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3276600</wp:posOffset>
                  </wp:positionH>
                  <wp:positionV relativeFrom="page">
                    <wp:posOffset>7117080</wp:posOffset>
                  </wp:positionV>
                  <wp:extent cx="1181100" cy="61722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6172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58" w:after="0"/>
              <w:ind w:left="0" w:right="2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Н.Ю. Савельева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552" w:right="76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