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304" w:right="115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Порядок организации и проведения апелляций по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результатам государственных аттестационных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испытаний (ГИА)</w:t>
      </w:r>
    </w:p>
    <w:p>
      <w:pPr>
        <w:autoSpaceDN w:val="0"/>
        <w:autoSpaceDE w:val="0"/>
        <w:widowControl/>
        <w:spacing w:line="274" w:lineRule="auto" w:before="380" w:after="630"/>
        <w:ind w:left="304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Студент НИУ ВШЭ имеет право подать апелляцию по результататам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ГИА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Регламент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 апелляционной комиссии (АК) публикуется на сайте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не позднее, чем за шесть месяцев до начала ГИА, а состав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Апелляционной комиссии и порядок подачи апелляций — не позднее, чем за 30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календарных дней до дня проведения первого государственного аттестационного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испытания.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3512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8" w:val="left"/>
                <w:tab w:pos="828" w:val="left"/>
              </w:tabs>
              <w:autoSpaceDE w:val="0"/>
              <w:widowControl/>
              <w:spacing w:line="245" w:lineRule="auto" w:before="60" w:after="0"/>
              <w:ind w:left="304" w:right="187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3"/>
              </w:rPr>
              <w:t>Алгоритм действий</w:t>
            </w:r>
            <w:r>
              <w:br/>
            </w:r>
            <w:r>
              <w:tab/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Ознакомьтесь с основаниями для апелляции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Основаниями для апелляции могут являться:</w:t>
            </w:r>
          </w:p>
          <w:p>
            <w:pPr>
              <w:autoSpaceDN w:val="0"/>
              <w:tabs>
                <w:tab w:pos="1154" w:val="left"/>
              </w:tabs>
              <w:autoSpaceDE w:val="0"/>
              <w:widowControl/>
              <w:spacing w:line="257" w:lineRule="auto" w:before="262" w:after="0"/>
              <w:ind w:left="828" w:right="100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государственного экзамена или защиты ВКР;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нарушение, по мнению студента, установленной процедуры проведения</w:t>
            </w:r>
          </w:p>
        </w:tc>
      </w:tr>
      <w:tr>
        <w:trPr>
          <w:trHeight w:hRule="exact" w:val="554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6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несогласие студента с результатами государственного экзамена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24"/>
      </w:tblGrid>
      <w:tr>
        <w:trPr>
          <w:trHeight w:hRule="exact" w:val="4096"/>
        </w:trPr>
        <w:tc>
          <w:tcPr>
            <w:tcW w:type="dxa" w:w="9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60" w:right="0" w:firstLine="0"/>
              <w:jc w:val="left"/>
            </w:pPr>
            <w:r>
              <w:rPr>
                <w:w w:val="103.125"/>
                <w:rFonts w:ascii="Segoe UI" w:hAnsi="Segoe UI" w:eastAsia="Segoe UI"/>
                <w:b w:val="0"/>
                <w:i w:val="0"/>
                <w:color w:val="696969"/>
                <w:sz w:val="16"/>
              </w:rPr>
              <w:t>* Не относится к защите ВКР</w:t>
            </w:r>
          </w:p>
          <w:p>
            <w:pPr>
              <w:autoSpaceDN w:val="0"/>
              <w:autoSpaceDE w:val="0"/>
              <w:widowControl/>
              <w:spacing w:line="240" w:lineRule="auto" w:before="816" w:after="0"/>
              <w:ind w:left="40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2.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Подайте заявление на апелляцию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6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Апелляция подается в виде письменного мотивированного заявления</w:t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46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секретарю Апелляционной комиссии (АК) посредством отправки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соответствующего заявления с корпоративного адреса электронной почты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5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не позднее следующего рабочего дня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после объявления результатов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81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государственного аттестационного испытания.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6"/>
        </w:trPr>
        <w:tc>
          <w:tcPr>
            <w:tcW w:type="dxa" w:w="97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Порядок подачи апелляции, включая информацию о секретаре АК и его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1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контактных данных размещается на странице образовательной программы.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Примите участие в апелляционной комиссии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Апелляция рассматривается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не позднее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двух рабочих дней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со дня подачи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апелляционного заявления на заседании АК.</w:t>
            </w:r>
          </w:p>
          <w:p>
            <w:pPr>
              <w:autoSpaceDN w:val="0"/>
              <w:autoSpaceDE w:val="0"/>
              <w:widowControl/>
              <w:spacing w:line="240" w:lineRule="auto" w:before="262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Заседание проводится в офлайн-формате или в дистанционном формате. На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заседание приглашаются председатель локальной ГЭК и студент, подавший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апелляцию. Также, по решению председателя АК на заседание АК может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быть приглашен представитель Студенческого совета факультета, не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являющийся студентом выпускного курса.</w:t>
      </w:r>
    </w:p>
    <w:p>
      <w:pPr>
        <w:autoSpaceDN w:val="0"/>
        <w:autoSpaceDE w:val="0"/>
        <w:widowControl/>
        <w:spacing w:line="240" w:lineRule="auto" w:before="246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Заседание АК может проводиться в отсутствие студента, подавшего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8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апелляцию, в случае его неявки на заседание АК. 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4.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Получите информацию о результатах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апелляционной комиссии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Решение апелляционной комисии (в виде протокола) будет направлено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секретарем апелляционной комиссии по электронной почте в течение 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рабочих дней со дня заседания.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58"/>
        </w:trPr>
        <w:tc>
          <w:tcPr>
            <w:tcW w:type="dxa" w:w="66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Вам будет сообщено: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824"/>
      </w:tblGrid>
      <w:tr>
        <w:trPr>
          <w:trHeight w:hRule="exact" w:val="434"/>
        </w:trPr>
        <w:tc>
          <w:tcPr>
            <w:tcW w:type="dxa" w:w="93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— об отклонении апелляции, если изложенные в ней сведения не</w:t>
            </w:r>
          </w:p>
        </w:tc>
      </w:tr>
    </w:tbl>
    <w:p>
      <w:pPr>
        <w:autoSpaceDN w:val="0"/>
        <w:autoSpaceDE w:val="0"/>
        <w:widowControl/>
        <w:spacing w:line="240" w:lineRule="auto" w:before="32" w:after="26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подтвердились и (или) не повлияли на результат государственного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8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аттестационного испытания;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либо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об удовлетворении апелляции, если изложенные в ней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4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сведения подтвердились и повлияли на результат государственного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824"/>
      </w:tblGrid>
      <w:tr>
        <w:trPr>
          <w:trHeight w:hRule="exact" w:val="432"/>
        </w:trPr>
        <w:tc>
          <w:tcPr>
            <w:tcW w:type="dxa" w:w="70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аттестационного испытания.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6"/>
        </w:trPr>
        <w:tc>
          <w:tcPr>
            <w:tcW w:type="dxa" w:w="98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Обязательно ознакомьтесь с решением апелляционной комисии, отправив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88"/>
        </w:trPr>
        <w:tc>
          <w:tcPr>
            <w:tcW w:type="dxa" w:w="96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ответное письмо секретарю АК не позднее следующего рабочего дня с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6"/>
        </w:trPr>
        <w:tc>
          <w:tcPr>
            <w:tcW w:type="dxa" w:w="89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момента получения письма с протоколом от секретаря АК.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93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отсутствии ответного письма будет оформлен акт об отказе от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7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ознакомления.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5.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Пройдите повторное испытание (если результаты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испытания были аннулированы)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Повторное испытание проводится только в случае принятия решения АК об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аннулировании ранее полученного результата и аналогично проведению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заседания ГЭК. Повторное государственное аттестационное испытание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проводится в сроки, установленные образовательной программой, но до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даты окончания учебного процесса, зафиксированной в графике учебного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процесса текущего учебного года.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государственный экзамен, к результатам которого студент апеллировал,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проводился письменно, и характер заданий и ответов в письменной работе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позволяет по результатам апелляции выставить новую оценку, не проводя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повторное государственное аттестационное испытание, то повторное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государственное аттестационное испытание для студента не проводится, а</w:t>
      </w:r>
    </w:p>
    <w:p>
      <w:pPr>
        <w:autoSpaceDN w:val="0"/>
        <w:autoSpaceDE w:val="0"/>
        <w:widowControl/>
        <w:spacing w:line="240" w:lineRule="auto" w:before="5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новая оценка выставляется в протоколе повторной ГЭК с подписью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уполномоченного члена АК.</w:t>
            </w:r>
          </w:p>
        </w:tc>
      </w:tr>
    </w:tbl>
    <w:p>
      <w:pPr>
        <w:autoSpaceDN w:val="0"/>
        <w:autoSpaceDE w:val="0"/>
        <w:widowControl/>
        <w:spacing w:line="240" w:lineRule="auto" w:before="846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Документы</w:t>
      </w:r>
    </w:p>
    <w:p>
      <w:pPr>
        <w:autoSpaceDN w:val="0"/>
        <w:autoSpaceDE w:val="0"/>
        <w:widowControl/>
        <w:spacing w:line="240" w:lineRule="auto" w:before="214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Положение о государственной итоговой аттестации студентов образовательных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программ высшего образования – программ бакалавриата, специалитета и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магистратуры Национального исследовательского университета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 10.12.2025)</w:t>
      </w:r>
    </w:p>
    <w:p>
      <w:pPr>
        <w:autoSpaceDN w:val="0"/>
        <w:autoSpaceDE w:val="0"/>
        <w:widowControl/>
        <w:spacing w:line="240" w:lineRule="auto" w:before="12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1676400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2057400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2562860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7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2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Дополнительное образование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3543300</wp:posOffset>
            </wp:positionV>
            <wp:extent cx="6877050" cy="45698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5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4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5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IGA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hse.ru/docs/1111223628.html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www.hse.ru/org/hse/info/" TargetMode="External"/><Relationship Id="rId18" Type="http://schemas.openxmlformats.org/officeDocument/2006/relationships/hyperlink" Target="https://figures.hse.ru/" TargetMode="External"/><Relationship Id="rId19" Type="http://schemas.openxmlformats.org/officeDocument/2006/relationships/hyperlink" Target="https://www.hse.ru/orgstructure/" TargetMode="External"/><Relationship Id="rId20" Type="http://schemas.openxmlformats.org/officeDocument/2006/relationships/hyperlink" Target="https://sustainability.hse.ru/" TargetMode="External"/><Relationship Id="rId21" Type="http://schemas.openxmlformats.org/officeDocument/2006/relationships/hyperlink" Target="https://www.hse.ru/org/persons/" TargetMode="External"/><Relationship Id="rId22" Type="http://schemas.openxmlformats.org/officeDocument/2006/relationships/hyperlink" Target="https://www.hse.ru/buildinghse" TargetMode="External"/><Relationship Id="rId23" Type="http://schemas.openxmlformats.org/officeDocument/2006/relationships/hyperlink" Target="https://www.hse.ru/org/hse/aup/procurement/" TargetMode="External"/><Relationship Id="rId24" Type="http://schemas.openxmlformats.org/officeDocument/2006/relationships/hyperlink" Target="https://www.hse.ru/appeal/" TargetMode="External"/><Relationship Id="rId25" Type="http://schemas.openxmlformats.org/officeDocument/2006/relationships/hyperlink" Target="https://endowment.hse.ru/" TargetMode="External"/><Relationship Id="rId26" Type="http://schemas.openxmlformats.org/officeDocument/2006/relationships/hyperlink" Target="https://www.hse.ru/anticorruption" TargetMode="External"/><Relationship Id="rId27" Type="http://schemas.openxmlformats.org/officeDocument/2006/relationships/hyperlink" Target="https://www.hse.ru/anticorruption/information" TargetMode="External"/><Relationship Id="rId28" Type="http://schemas.openxmlformats.org/officeDocument/2006/relationships/hyperlink" Target="https://www.hse.ru/sveden/" TargetMode="External"/><Relationship Id="rId29" Type="http://schemas.openxmlformats.org/officeDocument/2006/relationships/hyperlink" Target="https://inclusive.hse.ru/" TargetMode="External"/><Relationship Id="rId30" Type="http://schemas.openxmlformats.org/officeDocument/2006/relationships/hyperlink" Target="https://pay.hse.ru/" TargetMode="External"/><Relationship Id="rId31" Type="http://schemas.openxmlformats.org/officeDocument/2006/relationships/hyperlink" Target="https://www.hse.ru/career" TargetMode="External"/><Relationship Id="rId32" Type="http://schemas.openxmlformats.org/officeDocument/2006/relationships/hyperlink" Target="https://www.hse.ru/education/" TargetMode="External"/><Relationship Id="rId33" Type="http://schemas.openxmlformats.org/officeDocument/2006/relationships/hyperlink" Target="https://school.hse.ru/" TargetMode="External"/><Relationship Id="rId34" Type="http://schemas.openxmlformats.org/officeDocument/2006/relationships/hyperlink" Target="https://fdp.hse.ru/" TargetMode="External"/><Relationship Id="rId35" Type="http://schemas.openxmlformats.org/officeDocument/2006/relationships/hyperlink" Target="https://olymp.hse.ru/" TargetMode="External"/><Relationship Id="rId36" Type="http://schemas.openxmlformats.org/officeDocument/2006/relationships/hyperlink" Target="https://ba.hse.ru/" TargetMode="External"/><Relationship Id="rId37" Type="http://schemas.openxmlformats.org/officeDocument/2006/relationships/hyperlink" Target="https://www.hse.ru/plus" TargetMode="External"/><Relationship Id="rId38" Type="http://schemas.openxmlformats.org/officeDocument/2006/relationships/hyperlink" Target="https://ma.hse.ru/" TargetMode="External"/><Relationship Id="rId39" Type="http://schemas.openxmlformats.org/officeDocument/2006/relationships/hyperlink" Target="https://aspirantura.hse.ru/" TargetMode="External"/><Relationship Id="rId40" Type="http://schemas.openxmlformats.org/officeDocument/2006/relationships/hyperlink" Target="https://busedu.hse.ru/" TargetMode="External"/><Relationship Id="rId41" Type="http://schemas.openxmlformats.org/officeDocument/2006/relationships/hyperlink" Target="https://career.hse.ru/" TargetMode="External"/><Relationship Id="rId42" Type="http://schemas.openxmlformats.org/officeDocument/2006/relationships/hyperlink" Target="http://inc.hse.ru/" TargetMode="External"/><Relationship Id="rId43" Type="http://schemas.openxmlformats.org/officeDocument/2006/relationships/hyperlink" Target="https://dd.hse.ru/" TargetMode="External"/><Relationship Id="rId44" Type="http://schemas.openxmlformats.org/officeDocument/2006/relationships/hyperlink" Target="https://www.hse.ru/feedback" TargetMode="External"/><Relationship Id="rId45" Type="http://schemas.openxmlformats.org/officeDocument/2006/relationships/hyperlink" Target="https://www.hse.ru/science/" TargetMode="External"/><Relationship Id="rId46" Type="http://schemas.openxmlformats.org/officeDocument/2006/relationships/hyperlink" Target="https://www.hse.ru/science/centers" TargetMode="External"/><Relationship Id="rId47" Type="http://schemas.openxmlformats.org/officeDocument/2006/relationships/hyperlink" Target="https://www.hse.ru/org/projects/" TargetMode="External"/><Relationship Id="rId48" Type="http://schemas.openxmlformats.org/officeDocument/2006/relationships/hyperlink" Target="https://www.hse.ru/monitoring/" TargetMode="External"/><Relationship Id="rId49" Type="http://schemas.openxmlformats.org/officeDocument/2006/relationships/hyperlink" Target="https://www.hse.ru/science/disscoun/" TargetMode="External"/><Relationship Id="rId50" Type="http://schemas.openxmlformats.org/officeDocument/2006/relationships/hyperlink" Target="https://aspirantura.hse.ru/defence/announcements/" TargetMode="External"/><Relationship Id="rId51" Type="http://schemas.openxmlformats.org/officeDocument/2006/relationships/hyperlink" Target="https://academics.hse.ru/" TargetMode="External"/><Relationship Id="rId52" Type="http://schemas.openxmlformats.org/officeDocument/2006/relationships/hyperlink" Target="https://www.hse.ru/science/hsegrants" TargetMode="External"/><Relationship Id="rId53" Type="http://schemas.openxmlformats.org/officeDocument/2006/relationships/hyperlink" Target="https://sezam.hse.ru/" TargetMode="External"/><Relationship Id="rId54" Type="http://schemas.openxmlformats.org/officeDocument/2006/relationships/hyperlink" Target="https://publications.hse.ru/" TargetMode="External"/><Relationship Id="rId55" Type="http://schemas.openxmlformats.org/officeDocument/2006/relationships/hyperlink" Target="https://library.hse.ru/" TargetMode="External"/><Relationship Id="rId56" Type="http://schemas.openxmlformats.org/officeDocument/2006/relationships/hyperlink" Target="https://id.hse.ru/" TargetMode="External"/><Relationship Id="rId57" Type="http://schemas.openxmlformats.org/officeDocument/2006/relationships/hyperlink" Target="https://bookshop.hse.ru/" TargetMode="External"/><Relationship Id="rId58" Type="http://schemas.openxmlformats.org/officeDocument/2006/relationships/hyperlink" Target="https://print.hse.ru/" TargetMode="External"/><Relationship Id="rId59" Type="http://schemas.openxmlformats.org/officeDocument/2006/relationships/hyperlink" Target="https://mc.hse.ru/" TargetMode="External"/><Relationship Id="rId60" Type="http://schemas.openxmlformats.org/officeDocument/2006/relationships/hyperlink" Target="https://www.hse.ru/science/journals" TargetMode="External"/><Relationship Id="rId61" Type="http://schemas.openxmlformats.org/officeDocument/2006/relationships/hyperlink" Target="http://www.minobrnauki.gov.ru/" TargetMode="External"/><Relationship Id="rId62" Type="http://schemas.openxmlformats.org/officeDocument/2006/relationships/hyperlink" Target="https://edu.gov.ru/" TargetMode="External"/><Relationship Id="rId63" Type="http://schemas.openxmlformats.org/officeDocument/2006/relationships/hyperlink" Target="http://www.edu.ru/" TargetMode="External"/><Relationship Id="rId64" Type="http://schemas.openxmlformats.org/officeDocument/2006/relationships/hyperlink" Target="https://elearning.hse.ru/mooc" TargetMode="External"/><Relationship Id="rId65" Type="http://schemas.openxmlformats.org/officeDocument/2006/relationships/hyperlink" Target="https://www.hse.ru/adm/edit/edit.html?goto=%2AL3N0dWR5c3ByYXZrYS9HSUEtYXBlbGxhY2lhP19yPTM2MjE2NDQxNzc1MDgwOTgwLjQ3MzY0%5E&amp;id=167540919&amp;cid=20594&amp;addon_name=default&amp;newportal=1" TargetMode="External"/><Relationship Id="rId66" Type="http://schemas.openxmlformats.org/officeDocument/2006/relationships/hyperlink" Target="https://www.hse.ru/contacts.html" TargetMode="External"/><Relationship Id="rId67" Type="http://schemas.openxmlformats.org/officeDocument/2006/relationships/hyperlink" Target="https://www.hse.ru/copyright" TargetMode="External"/><Relationship Id="rId68" Type="http://schemas.openxmlformats.org/officeDocument/2006/relationships/hyperlink" Target="https://www.hse.ru/data_protection_regulation" TargetMode="External"/><Relationship Id="rId69" Type="http://schemas.openxmlformats.org/officeDocument/2006/relationships/hyperlink" Target="https://www.hse.ru/sitemap.html" TargetMode="External"/><Relationship Id="rId70" Type="http://schemas.openxmlformats.org/officeDocument/2006/relationships/hyperlink" Target="https://design.hse.ru/" TargetMode="External"/><Relationship Id="rId7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