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Академическая мобильность</w:t>
      </w:r>
    </w:p>
    <w:p>
      <w:pPr>
        <w:autoSpaceDN w:val="0"/>
        <w:autoSpaceDE w:val="0"/>
        <w:widowControl/>
        <w:spacing w:line="240" w:lineRule="auto" w:before="378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Академическая мобильность — получение студентами НИУ ВШЭ образовательных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услуг вне факультета и кампуса, в котором они обучаются, при условии зачета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полученных кредитов и результатов обучения.</w:t>
      </w:r>
    </w:p>
    <w:p>
      <w:pPr>
        <w:autoSpaceDN w:val="0"/>
        <w:autoSpaceDE w:val="0"/>
        <w:widowControl/>
        <w:spacing w:line="240" w:lineRule="auto" w:before="640" w:after="192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Виды академической мобильности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411"/>
        <w:gridCol w:w="3411"/>
        <w:gridCol w:w="3411"/>
      </w:tblGrid>
      <w:tr>
        <w:trPr>
          <w:trHeight w:hRule="exact" w:val="328"/>
        </w:trPr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90" w:right="0" w:firstLine="0"/>
              <w:jc w:val="left"/>
            </w:pP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Вид академической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538" w:right="0" w:firstLine="0"/>
              <w:jc w:val="left"/>
            </w:pP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Место и технология получения</w:t>
            </w:r>
          </w:p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38" w:right="0" w:firstLine="0"/>
              <w:jc w:val="left"/>
            </w:pP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Определение трудоемкости</w:t>
            </w:r>
          </w:p>
        </w:tc>
      </w:tr>
      <w:tr>
        <w:trPr>
          <w:trHeight w:hRule="exact" w:val="260"/>
        </w:trPr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мобильности</w:t>
            </w:r>
          </w:p>
        </w:tc>
        <w:tc>
          <w:tcPr>
            <w:tcW w:type="dxa" w:w="4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38" w:right="0" w:firstLine="0"/>
              <w:jc w:val="left"/>
            </w:pP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образовательных услуг</w:t>
            </w:r>
          </w:p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8" w:right="0" w:firstLine="0"/>
              <w:jc w:val="left"/>
            </w:pP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учебной работы в кредитах</w:t>
            </w:r>
          </w:p>
        </w:tc>
      </w:tr>
      <w:tr>
        <w:trPr>
          <w:trHeight w:hRule="exact" w:val="280"/>
        </w:trPr>
        <w:tc>
          <w:tcPr>
            <w:tcW w:type="dxa" w:w="3411"/>
            <w:vMerge/>
            <w:tcBorders/>
          </w:tcPr>
          <w:p/>
        </w:tc>
        <w:tc>
          <w:tcPr>
            <w:tcW w:type="dxa" w:w="3411"/>
            <w:vMerge/>
            <w:tcBorders/>
          </w:tcPr>
          <w:p/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8" w:right="0" w:firstLine="0"/>
              <w:jc w:val="left"/>
            </w:pP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для студентов — участников</w:t>
            </w:r>
          </w:p>
        </w:tc>
      </w:tr>
      <w:tr>
        <w:trPr>
          <w:trHeight w:hRule="exact" w:val="292"/>
        </w:trPr>
        <w:tc>
          <w:tcPr>
            <w:tcW w:type="dxa" w:w="3411"/>
            <w:vMerge/>
            <w:tcBorders/>
          </w:tcPr>
          <w:p/>
        </w:tc>
        <w:tc>
          <w:tcPr>
            <w:tcW w:type="dxa" w:w="3411"/>
            <w:vMerge/>
            <w:tcBorders/>
          </w:tcPr>
          <w:p/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338" w:right="0" w:firstLine="0"/>
              <w:jc w:val="left"/>
            </w:pP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академической мобильности</w:t>
            </w:r>
          </w:p>
        </w:tc>
      </w:tr>
    </w:tbl>
    <w:p>
      <w:pPr>
        <w:autoSpaceDN w:val="0"/>
        <w:autoSpaceDE w:val="0"/>
        <w:widowControl/>
        <w:spacing w:line="240" w:lineRule="auto" w:before="14" w:after="104"/>
        <w:ind w:left="0" w:right="3022" w:firstLine="0"/>
        <w:jc w:val="right"/>
      </w:pPr>
      <w:r>
        <w:rPr>
          <w:u w:val="single" w:color="0079c4"/>
          <w:w w:val="97.49999576144748"/>
          <w:rFonts w:ascii="Segoe UI" w:hAnsi="Segoe UI" w:eastAsia="Segoe UI"/>
          <w:b/>
          <w:i w:val="0"/>
          <w:color w:val="000000"/>
          <w:sz w:val="18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616"/>
        </w:trPr>
        <w:tc>
          <w:tcPr>
            <w:tcW w:type="dxa" w:w="2668"/>
            <w:tcBorders>
              <w:top w:sz="6.400000000000091" w:val="single" w:color="#AEB4C3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1" w:history="1">
                <w:r>
                  <w:rPr>
                    <w:rStyle w:val="Hyperlink"/>
                  </w:rPr>
                  <w:t>Внутриуниверс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1" w:history="1">
                <w:r>
                  <w:rPr>
                    <w:rStyle w:val="Hyperlink"/>
                  </w:rPr>
                  <w:t>итетская</w:t>
                </w:r>
              </w:hyperlink>
            </w:r>
          </w:p>
        </w:tc>
        <w:tc>
          <w:tcPr>
            <w:tcW w:type="dxa" w:w="4216"/>
            <w:tcBorders>
              <w:top w:sz="6.400000000000091" w:val="single" w:color="#AEB4C3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образовательные услуги студент</w:t>
            </w:r>
          </w:p>
        </w:tc>
        <w:tc>
          <w:tcPr>
            <w:tcW w:type="dxa" w:w="3330"/>
            <w:tcBorders>
              <w:top w:sz="6.400000000000091" w:val="single" w:color="#AEB4C3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засчитывается количество</w:t>
            </w:r>
          </w:p>
        </w:tc>
      </w:tr>
      <w:tr>
        <w:trPr>
          <w:trHeight w:hRule="exact" w:val="300"/>
        </w:trPr>
        <w:tc>
          <w:tcPr>
            <w:tcW w:type="dxa" w:w="2668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1" w:history="1">
                <w:r>
                  <w:rPr>
                    <w:rStyle w:val="Hyperlink"/>
                  </w:rPr>
                  <w:t>академическ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1" w:history="1">
                <w:r>
                  <w:rPr>
                    <w:rStyle w:val="Hyperlink"/>
                  </w:rPr>
                  <w:t>ая</w:t>
                </w:r>
              </w:hyperlink>
            </w:r>
          </w:p>
        </w:tc>
        <w:tc>
          <w:tcPr>
            <w:tcW w:type="dxa" w:w="4216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получает в НИУ ВШЭ с выездом</w:t>
            </w:r>
          </w:p>
        </w:tc>
        <w:tc>
          <w:tcPr>
            <w:tcW w:type="dxa" w:w="3330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кредитов, указанное</w:t>
            </w:r>
          </w:p>
        </w:tc>
      </w:tr>
      <w:tr>
        <w:trPr>
          <w:trHeight w:hRule="exact" w:val="300"/>
        </w:trPr>
        <w:tc>
          <w:tcPr>
            <w:tcW w:type="dxa" w:w="2668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1" w:history="1">
                <w:r>
                  <w:rPr>
                    <w:rStyle w:val="Hyperlink"/>
                  </w:rPr>
                  <w:t>мобильность</w:t>
                </w:r>
              </w:hyperlink>
            </w:r>
          </w:p>
        </w:tc>
        <w:tc>
          <w:tcPr>
            <w:tcW w:type="dxa" w:w="4216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 другой кампус и обучением</w:t>
            </w:r>
          </w:p>
        </w:tc>
        <w:tc>
          <w:tcPr>
            <w:tcW w:type="dxa" w:w="3330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 утвержденном рабочем</w:t>
            </w:r>
          </w:p>
        </w:tc>
      </w:tr>
      <w:tr>
        <w:trPr>
          <w:trHeight w:hRule="exact" w:val="272"/>
        </w:trPr>
        <w:tc>
          <w:tcPr>
            <w:tcW w:type="dxa" w:w="2668"/>
            <w:vMerge w:val="restart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0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2" w:history="1">
                <w:r>
                  <w:rPr>
                    <w:rStyle w:val="Hyperlink"/>
                  </w:rPr>
                  <w:t>Российска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2" w:history="1">
                <w:r>
                  <w:rPr>
                    <w:rStyle w:val="Hyperlink"/>
                  </w:rPr>
                  <w:t>я</w:t>
                </w:r>
              </w:hyperlink>
            </w:r>
          </w:p>
        </w:tc>
        <w:tc>
          <w:tcPr>
            <w:tcW w:type="dxa" w:w="4216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 очной форме обучения</w:t>
            </w:r>
          </w:p>
        </w:tc>
        <w:tc>
          <w:tcPr>
            <w:tcW w:type="dxa" w:w="3330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учебном плане (далее —</w:t>
            </w:r>
          </w:p>
        </w:tc>
      </w:tr>
      <w:tr>
        <w:trPr>
          <w:trHeight w:hRule="exact" w:val="316"/>
        </w:trPr>
        <w:tc>
          <w:tcPr>
            <w:tcW w:type="dxa" w:w="3411"/>
            <w:vMerge/>
            <w:tcBorders>
              <w:top w:sz="6.400000000000091" w:val="single" w:color="#0079C4"/>
            </w:tcBorders>
          </w:tcPr>
          <w:p/>
        </w:tc>
        <w:tc>
          <w:tcPr>
            <w:tcW w:type="dxa" w:w="421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16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образовательные услуги студент</w:t>
            </w:r>
          </w:p>
        </w:tc>
        <w:tc>
          <w:tcPr>
            <w:tcW w:type="dxa" w:w="33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РУП), дисциплину которого</w:t>
            </w:r>
          </w:p>
        </w:tc>
      </w:tr>
      <w:tr>
        <w:trPr>
          <w:trHeight w:hRule="exact" w:val="292"/>
        </w:trPr>
        <w:tc>
          <w:tcPr>
            <w:tcW w:type="dxa" w:w="3411"/>
            <w:vMerge/>
            <w:tcBorders>
              <w:top w:sz="6.400000000000091" w:val="single" w:color="#0079C4"/>
            </w:tcBorders>
          </w:tcPr>
          <w:p/>
        </w:tc>
        <w:tc>
          <w:tcPr>
            <w:tcW w:type="dxa" w:w="3411"/>
            <w:vMerge/>
            <w:tcBorders/>
          </w:tcPr>
          <w:p/>
        </w:tc>
        <w:tc>
          <w:tcPr>
            <w:tcW w:type="dxa" w:w="33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студент выбрал для</w:t>
            </w:r>
          </w:p>
        </w:tc>
      </w:tr>
      <w:tr>
        <w:trPr>
          <w:trHeight w:hRule="exact" w:val="502"/>
        </w:trPr>
        <w:tc>
          <w:tcPr>
            <w:tcW w:type="dxa" w:w="3411"/>
            <w:vMerge/>
            <w:tcBorders>
              <w:top w:sz="6.400000000000091" w:val="single" w:color="#0079C4"/>
            </w:tcBorders>
          </w:tcPr>
          <w:p/>
        </w:tc>
        <w:tc>
          <w:tcPr>
            <w:tcW w:type="dxa" w:w="3411"/>
            <w:vMerge/>
            <w:tcBorders/>
          </w:tcPr>
          <w:p/>
        </w:tc>
        <w:tc>
          <w:tcPr>
            <w:tcW w:type="dxa" w:w="33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изучения</w:t>
            </w:r>
          </w:p>
        </w:tc>
      </w:tr>
      <w:tr>
        <w:trPr>
          <w:trHeight w:hRule="exact" w:val="510"/>
        </w:trPr>
        <w:tc>
          <w:tcPr>
            <w:tcW w:type="dxa" w:w="3411"/>
            <w:vMerge/>
            <w:tcBorders>
              <w:top w:sz="6.400000000000091" w:val="single" w:color="#0079C4"/>
            </w:tcBorders>
          </w:tcPr>
          <w:p/>
        </w:tc>
        <w:tc>
          <w:tcPr>
            <w:tcW w:type="dxa" w:w="3411"/>
            <w:vMerge/>
            <w:tcBorders/>
          </w:tcPr>
          <w:p/>
        </w:tc>
        <w:tc>
          <w:tcPr>
            <w:tcW w:type="dxa" w:w="33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засчитывается количество</w:t>
            </w:r>
          </w:p>
        </w:tc>
      </w:tr>
      <w:tr>
        <w:trPr>
          <w:trHeight w:hRule="exact" w:val="312"/>
        </w:trPr>
        <w:tc>
          <w:tcPr>
            <w:tcW w:type="dxa" w:w="2668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2" w:history="1">
                <w:r>
                  <w:rPr>
                    <w:rStyle w:val="Hyperlink"/>
                  </w:rPr>
                  <w:t>академичес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2" w:history="1">
                <w:r>
                  <w:rPr>
                    <w:rStyle w:val="Hyperlink"/>
                  </w:rPr>
                  <w:t>к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2" w:history="1">
                <w:r>
                  <w:rPr>
                    <w:rStyle w:val="Hyperlink"/>
                  </w:rPr>
                  <w:t>ая</w:t>
                </w:r>
              </w:hyperlink>
            </w:r>
          </w:p>
        </w:tc>
        <w:tc>
          <w:tcPr>
            <w:tcW w:type="dxa" w:w="4216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получает в другой</w:t>
            </w:r>
          </w:p>
        </w:tc>
        <w:tc>
          <w:tcPr>
            <w:tcW w:type="dxa" w:w="3330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кредитов, указанное</w:t>
            </w:r>
          </w:p>
        </w:tc>
      </w:tr>
      <w:tr>
        <w:trPr>
          <w:trHeight w:hRule="exact" w:val="299"/>
        </w:trPr>
        <w:tc>
          <w:tcPr>
            <w:tcW w:type="dxa" w:w="2668"/>
            <w:tcBorders>
              <w:top w:sz="6.399999999999636" w:val="single" w:color="#0079C4"/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2" w:history="1">
                <w:r>
                  <w:rPr>
                    <w:rStyle w:val="Hyperlink"/>
                  </w:rPr>
                  <w:t>мобильность</w:t>
                </w:r>
              </w:hyperlink>
            </w:r>
          </w:p>
        </w:tc>
        <w:tc>
          <w:tcPr>
            <w:tcW w:type="dxa" w:w="4216"/>
            <w:tcBorders>
              <w:top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образовательной организации</w:t>
            </w:r>
          </w:p>
        </w:tc>
        <w:tc>
          <w:tcPr>
            <w:tcW w:type="dxa" w:w="3330"/>
            <w:tcBorders>
              <w:top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 сертификате</w:t>
            </w:r>
          </w:p>
        </w:tc>
      </w:tr>
      <w:tr>
        <w:trPr>
          <w:trHeight w:hRule="exact" w:val="269"/>
        </w:trPr>
        <w:tc>
          <w:tcPr>
            <w:tcW w:type="dxa" w:w="2668"/>
            <w:vMerge w:val="restart"/>
            <w:tcBorders>
              <w:top w:sz="6.399999999999636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4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3" w:history="1">
                <w:r>
                  <w:rPr>
                    <w:rStyle w:val="Hyperlink"/>
                  </w:rPr>
                  <w:t>Международна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3" w:history="1">
                <w:r>
                  <w:rPr>
                    <w:rStyle w:val="Hyperlink"/>
                  </w:rPr>
                  <w:t>я</w:t>
                </w:r>
              </w:hyperlink>
            </w:r>
          </w:p>
        </w:tc>
        <w:tc>
          <w:tcPr>
            <w:tcW w:type="dxa" w:w="4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РФ по любой форме обучения</w:t>
            </w:r>
          </w:p>
        </w:tc>
        <w:tc>
          <w:tcPr>
            <w:tcW w:type="dxa" w:w="33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(для дистанционной</w:t>
            </w:r>
          </w:p>
        </w:tc>
      </w:tr>
      <w:tr>
        <w:trPr>
          <w:trHeight w:hRule="exact" w:val="304"/>
        </w:trPr>
        <w:tc>
          <w:tcPr>
            <w:tcW w:type="dxa" w:w="3411"/>
            <w:vMerge/>
            <w:tcBorders>
              <w:top w:sz="6.399999999999636" w:val="single" w:color="#0079C4"/>
              <w:bottom w:sz="5.600000000000364" w:val="single" w:color="#0079C4"/>
            </w:tcBorders>
          </w:tcPr>
          <w:p/>
        </w:tc>
        <w:tc>
          <w:tcPr>
            <w:tcW w:type="dxa" w:w="4216"/>
            <w:vMerge w:val="restart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2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образовательные услуги студент</w:t>
            </w:r>
          </w:p>
        </w:tc>
        <w:tc>
          <w:tcPr>
            <w:tcW w:type="dxa" w:w="33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мобильности</w:t>
            </w:r>
          </w:p>
        </w:tc>
      </w:tr>
      <w:tr>
        <w:trPr>
          <w:trHeight w:hRule="exact" w:val="296"/>
        </w:trPr>
        <w:tc>
          <w:tcPr>
            <w:tcW w:type="dxa" w:w="3411"/>
            <w:vMerge/>
            <w:tcBorders>
              <w:top w:sz="6.399999999999636" w:val="single" w:color="#0079C4"/>
              <w:bottom w:sz="5.600000000000364" w:val="single" w:color="#0079C4"/>
            </w:tcBorders>
          </w:tcPr>
          <w:p/>
        </w:tc>
        <w:tc>
          <w:tcPr>
            <w:tcW w:type="dxa" w:w="3411"/>
            <w:vMerge/>
            <w:tcBorders>
              <w:bottom w:sz="5.600000000000364" w:val="single" w:color="#0079C4"/>
            </w:tcBorders>
          </w:tcPr>
          <w:p/>
        </w:tc>
        <w:tc>
          <w:tcPr>
            <w:tcW w:type="dxa" w:w="33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засчитывается минимум 1</w:t>
            </w:r>
          </w:p>
        </w:tc>
      </w:tr>
      <w:tr>
        <w:trPr>
          <w:trHeight w:hRule="exact" w:val="138"/>
        </w:trPr>
        <w:tc>
          <w:tcPr>
            <w:tcW w:type="dxa" w:w="3411"/>
            <w:vMerge/>
            <w:tcBorders>
              <w:top w:sz="6.399999999999636" w:val="single" w:color="#0079C4"/>
              <w:bottom w:sz="5.600000000000364" w:val="single" w:color="#0079C4"/>
            </w:tcBorders>
          </w:tcPr>
          <w:p/>
        </w:tc>
        <w:tc>
          <w:tcPr>
            <w:tcW w:type="dxa" w:w="3411"/>
            <w:vMerge/>
            <w:tcBorders>
              <w:bottom w:sz="5.600000000000364" w:val="single" w:color="#0079C4"/>
            </w:tcBorders>
          </w:tcPr>
          <w:p/>
        </w:tc>
        <w:tc>
          <w:tcPr>
            <w:tcW w:type="dxa" w:w="3330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668"/>
            <w:tcBorders>
              <w:top w:sz="5.600000000000364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3" w:history="1">
                <w:r>
                  <w:rPr>
                    <w:rStyle w:val="Hyperlink"/>
                  </w:rPr>
                  <w:t>академическ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3" w:history="1">
                <w:r>
                  <w:rPr>
                    <w:rStyle w:val="Hyperlink"/>
                  </w:rPr>
                  <w:t>ая</w:t>
                </w:r>
              </w:hyperlink>
            </w:r>
          </w:p>
        </w:tc>
        <w:tc>
          <w:tcPr>
            <w:tcW w:type="dxa" w:w="4216"/>
            <w:tcBorders>
              <w:top w:sz="5.600000000000364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получает в зарубежной</w:t>
            </w:r>
          </w:p>
        </w:tc>
        <w:tc>
          <w:tcPr>
            <w:tcW w:type="dxa" w:w="3330"/>
            <w:tcBorders>
              <w:top w:sz="5.600000000000364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кредит)</w:t>
            </w:r>
          </w:p>
        </w:tc>
      </w:tr>
      <w:tr>
        <w:trPr>
          <w:trHeight w:hRule="exact" w:val="299"/>
        </w:trPr>
        <w:tc>
          <w:tcPr>
            <w:tcW w:type="dxa" w:w="2668"/>
            <w:tcBorders>
              <w:top w:sz="5.600000000000364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13" w:history="1">
                <w:r>
                  <w:rPr>
                    <w:rStyle w:val="Hyperlink"/>
                  </w:rPr>
                  <w:t>мобильность</w:t>
                </w:r>
              </w:hyperlink>
            </w:r>
          </w:p>
        </w:tc>
        <w:tc>
          <w:tcPr>
            <w:tcW w:type="dxa" w:w="4216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образовательной организации</w:t>
            </w:r>
          </w:p>
        </w:tc>
        <w:tc>
          <w:tcPr>
            <w:tcW w:type="dxa" w:w="3330"/>
            <w:tcBorders>
              <w:top w:sz="5.600000000000364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3"/>
        </w:trPr>
        <w:tc>
          <w:tcPr>
            <w:tcW w:type="dxa" w:w="2668"/>
            <w:vMerge w:val="restart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Дистанционная</w:t>
            </w:r>
          </w:p>
        </w:tc>
        <w:tc>
          <w:tcPr>
            <w:tcW w:type="dxa" w:w="4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 очной форме обучения</w:t>
            </w:r>
          </w:p>
        </w:tc>
        <w:tc>
          <w:tcPr>
            <w:tcW w:type="dxa" w:w="3330"/>
            <w:vMerge w:val="restart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3411"/>
            <w:vMerge/>
            <w:tcBorders>
              <w:top w:sz="5.600000000000364" w:val="single" w:color="#0079C4"/>
            </w:tcBorders>
          </w:tcPr>
          <w:p/>
        </w:tc>
        <w:tc>
          <w:tcPr>
            <w:tcW w:type="dxa" w:w="4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образовательные услуги студент</w:t>
            </w:r>
          </w:p>
        </w:tc>
        <w:tc>
          <w:tcPr>
            <w:tcW w:type="dxa" w:w="3411"/>
            <w:vMerge/>
            <w:tcBorders>
              <w:top w:sz="5.600000000000364" w:val="single" w:color="#0079C4"/>
            </w:tcBorders>
          </w:tcPr>
          <w:p/>
        </w:tc>
      </w:tr>
      <w:tr>
        <w:trPr>
          <w:trHeight w:hRule="exact" w:val="300"/>
        </w:trPr>
        <w:tc>
          <w:tcPr>
            <w:tcW w:type="dxa" w:w="26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академическая</w:t>
            </w:r>
          </w:p>
        </w:tc>
        <w:tc>
          <w:tcPr>
            <w:tcW w:type="dxa" w:w="4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получает на платформах</w:t>
            </w:r>
          </w:p>
        </w:tc>
        <w:tc>
          <w:tcPr>
            <w:tcW w:type="dxa" w:w="3411"/>
            <w:vMerge/>
            <w:tcBorders>
              <w:top w:sz="5.600000000000364" w:val="single" w:color="#0079C4"/>
            </w:tcBorders>
          </w:tcPr>
          <w:p/>
        </w:tc>
      </w:tr>
      <w:tr>
        <w:trPr>
          <w:trHeight w:hRule="exact" w:val="300"/>
        </w:trPr>
        <w:tc>
          <w:tcPr>
            <w:tcW w:type="dxa" w:w="266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мобильность</w:t>
            </w:r>
          </w:p>
        </w:tc>
        <w:tc>
          <w:tcPr>
            <w:tcW w:type="dxa" w:w="4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онлайн-образования и/или в</w:t>
            </w:r>
          </w:p>
        </w:tc>
        <w:tc>
          <w:tcPr>
            <w:tcW w:type="dxa" w:w="3411"/>
            <w:vMerge/>
            <w:tcBorders>
              <w:top w:sz="5.600000000000364" w:val="single" w:color="#0079C4"/>
            </w:tcBorders>
          </w:tcPr>
          <w:p/>
        </w:tc>
      </w:tr>
      <w:tr>
        <w:trPr>
          <w:trHeight w:hRule="exact" w:val="280"/>
        </w:trPr>
        <w:tc>
          <w:tcPr>
            <w:tcW w:type="dxa" w:w="3411"/>
            <w:vMerge/>
            <w:tcBorders/>
          </w:tcPr>
          <w:p/>
        </w:tc>
        <w:tc>
          <w:tcPr>
            <w:tcW w:type="dxa" w:w="4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другой образовательной</w:t>
            </w:r>
          </w:p>
        </w:tc>
        <w:tc>
          <w:tcPr>
            <w:tcW w:type="dxa" w:w="3411"/>
            <w:vMerge/>
            <w:tcBorders>
              <w:top w:sz="5.600000000000364" w:val="single" w:color="#0079C4"/>
            </w:tcBorders>
          </w:tcPr>
          <w:p/>
        </w:tc>
      </w:tr>
      <w:tr>
        <w:trPr>
          <w:trHeight w:hRule="exact" w:val="300"/>
        </w:trPr>
        <w:tc>
          <w:tcPr>
            <w:tcW w:type="dxa" w:w="3411"/>
            <w:vMerge/>
            <w:tcBorders/>
          </w:tcPr>
          <w:p/>
        </w:tc>
        <w:tc>
          <w:tcPr>
            <w:tcW w:type="dxa" w:w="4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организации высшего</w:t>
            </w:r>
          </w:p>
        </w:tc>
        <w:tc>
          <w:tcPr>
            <w:tcW w:type="dxa" w:w="3411"/>
            <w:vMerge/>
            <w:tcBorders>
              <w:top w:sz="5.600000000000364" w:val="single" w:color="#0079C4"/>
            </w:tcBorders>
          </w:tcPr>
          <w:p/>
        </w:tc>
      </w:tr>
      <w:tr>
        <w:trPr>
          <w:trHeight w:hRule="exact" w:val="350"/>
        </w:trPr>
        <w:tc>
          <w:tcPr>
            <w:tcW w:type="dxa" w:w="3411"/>
            <w:vMerge/>
            <w:tcBorders/>
          </w:tcPr>
          <w:p/>
        </w:tc>
        <w:tc>
          <w:tcPr>
            <w:tcW w:type="dxa" w:w="4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образования в дистанционной</w:t>
            </w:r>
          </w:p>
        </w:tc>
        <w:tc>
          <w:tcPr>
            <w:tcW w:type="dxa" w:w="3411"/>
            <w:vMerge/>
            <w:tcBorders>
              <w:top w:sz="5.600000000000364" w:val="single" w:color="#0079C4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245" w:lineRule="auto" w:before="0" w:after="1130"/>
        <w:ind w:left="3560" w:right="44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форме без выезда к месту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обучения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994"/>
        </w:trPr>
        <w:tc>
          <w:tcPr>
            <w:tcW w:type="dxa" w:w="2084"/>
            <w:tcBorders>
              <w:bottom w:sz="5.599999999999909" w:val="single" w:color="#AEB4C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4" w:right="288" w:firstLine="0"/>
              <w:jc w:val="left"/>
            </w:pP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Вид</w:t>
            </w:r>
            <w:r>
              <w:br/>
            </w: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академической</w:t>
            </w: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мобильности</w:t>
            </w:r>
          </w:p>
        </w:tc>
        <w:tc>
          <w:tcPr>
            <w:tcW w:type="dxa" w:w="8130"/>
            <w:tcBorders>
              <w:bottom w:sz="5.599999999999909" w:val="single" w:color="#AEB4C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2" w:right="0" w:firstLine="0"/>
              <w:jc w:val="left"/>
            </w:pPr>
            <w:r>
              <w:rPr>
                <w:w w:val="98.35714612688336"/>
                <w:rFonts w:ascii="Segoe UI" w:hAnsi="Segoe UI" w:eastAsia="Segoe UI"/>
                <w:b/>
                <w:i w:val="0"/>
                <w:color w:val="000000"/>
                <w:sz w:val="21"/>
              </w:rPr>
              <w:t>В зависимости от продолжительности обучения: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" w:type="dxa"/>
      </w:tblPr>
      <w:tblGrid>
        <w:gridCol w:w="5410"/>
        <w:gridCol w:w="5410"/>
      </w:tblGrid>
      <w:tr>
        <w:trPr>
          <w:trHeight w:hRule="exact" w:val="2330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>Краткосрочная</w:t>
            </w:r>
          </w:p>
          <w:p>
            <w:pPr>
              <w:autoSpaceDN w:val="0"/>
              <w:autoSpaceDE w:val="0"/>
              <w:widowControl/>
              <w:spacing w:line="240" w:lineRule="auto" w:before="1600" w:after="0"/>
              <w:ind w:left="24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>Долгосрочная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50" w:right="288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обучение студента вне базовой ОП не более трех месяцев, а также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участие в непродолжительных семинарах, форумах, симпозиумах и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других формах научного и образовательного взаимодействия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, </w:t>
            </w:r>
            <w:r>
              <w:rPr>
                <w:w w:val="97.5"/>
                <w:rFonts w:ascii="Segoe UI" w:hAnsi="Segoe UI" w:eastAsia="Segoe UI"/>
                <w:b w:val="0"/>
                <w:i w:val="0"/>
                <w:color w:val="000000"/>
                <w:sz w:val="20"/>
              </w:rPr>
              <w:t>2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350" w:right="576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оценка участия в которых выражена в кредитах и представлена в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сертификате</w:t>
            </w:r>
          </w:p>
          <w:p>
            <w:pPr>
              <w:autoSpaceDN w:val="0"/>
              <w:autoSpaceDE w:val="0"/>
              <w:widowControl/>
              <w:spacing w:line="240" w:lineRule="auto" w:before="400" w:after="0"/>
              <w:ind w:left="3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обучение студента вне базовой ОП сроком более трех месяцев</w:t>
            </w:r>
          </w:p>
        </w:tc>
      </w:tr>
    </w:tbl>
    <w:p>
      <w:pPr>
        <w:autoSpaceDN w:val="0"/>
        <w:autoSpaceDE w:val="0"/>
        <w:widowControl/>
        <w:spacing w:line="269" w:lineRule="auto" w:before="1092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Обязательным условием долгосрочной академической мобильности, в том числе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организуемой по собственной инициативе студента, является оформление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индивидуального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учебного плана (ИУП)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включающего дисциплины, подлежащие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изучению вне базовой ОП.​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Общие положения для академических мобильностей</w:t>
      </w:r>
    </w:p>
    <w:p>
      <w:pPr>
        <w:autoSpaceDN w:val="0"/>
        <w:autoSpaceDE w:val="0"/>
        <w:widowControl/>
        <w:spacing w:line="274" w:lineRule="auto" w:before="226" w:after="0"/>
        <w:ind w:left="9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учета результатов академической мобильности студент подает на имя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академического руководителя ОП заявление о включении дисциплины (ряда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дисциплин) в свой учебный план (в том числе в качестве факультатива) и/или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 перезачете кредитов и полученных оценок .К заявлению прикладывается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сертификат.</w:t>
      </w:r>
    </w:p>
    <w:p>
      <w:pPr>
        <w:autoSpaceDN w:val="0"/>
        <w:autoSpaceDE w:val="0"/>
        <w:widowControl/>
        <w:spacing w:line="264" w:lineRule="auto" w:before="246" w:after="0"/>
        <w:ind w:left="9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Зачтенные кредиты могут быть включены в текущий/кумулятивный рейтинг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указанием дифференцированной оценки, количества кредитов и количества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часов.</w:t>
      </w:r>
    </w:p>
    <w:p>
      <w:pPr>
        <w:autoSpaceDN w:val="0"/>
        <w:autoSpaceDE w:val="0"/>
        <w:widowControl/>
        <w:spacing w:line="274" w:lineRule="auto" w:before="246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включения изученной дисциплины (ряда дисциплин) в список дисциплин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приложения к диплому и/или о зачете в качестве факультатива сверх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нормативного количества кредитов базового учебного плана направления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студент подает на имя академического руководителя ОП заявление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приложенным к нему сертификатом.</w:t>
      </w:r>
    </w:p>
    <w:p>
      <w:pPr>
        <w:sectPr>
          <w:pgSz w:w="11918" w:h="16858"/>
          <w:pgMar w:top="334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208"/>
        <w:ind w:left="864" w:right="576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Допускается подача заявления на дистанционную мобильность после того,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студент приступил к изучению соответствующей дисциплины (дисциплин).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764"/>
        </w:trPr>
        <w:tc>
          <w:tcPr>
            <w:tcW w:type="dxa" w:w="284"/>
            <w:tcBorders>
              <w:top w:sz="5.600000000000023" w:val="single" w:color="#E1E1E1"/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u w:val="single" w:color="999999"/>
                <w:w w:val="102.33333375718858"/>
                <w:rFonts w:ascii="Segoe UI Semibold" w:hAnsi="Segoe UI Semibold" w:eastAsia="Segoe UI Semi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930"/>
            <w:vMerge w:val="restart"/>
            <w:tcBorders>
              <w:top w:sz="5.600000000000023" w:val="single" w:color="#E1E1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8" w:right="432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При оценке трудоемкости учебной работы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hyperlink r:id="rId16" w:history="1">
                <w:r>
                  <w:rPr>
                    <w:rStyle w:val="Hyperlink"/>
                  </w:rPr>
                  <w:t>студента по изучению дисциплины в рам</w:t>
                </w:r>
              </w:hyperlink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ках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академической мобильности используется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7AC5"/>
                <w:sz w:val="22"/>
              </w:rPr>
              <w:hyperlink r:id="rId16" w:history="1">
                <w:r>
                  <w:rPr>
                    <w:rStyle w:val="Hyperlink"/>
                  </w:rPr>
                  <w:t>система перевода и накопления кредитов</w:t>
                </w:r>
              </w:hyperlink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 (Credit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System)</w:t>
            </w:r>
          </w:p>
          <w:p>
            <w:pPr>
              <w:autoSpaceDN w:val="0"/>
              <w:autoSpaceDE w:val="0"/>
              <w:widowControl/>
              <w:spacing w:line="240" w:lineRule="auto" w:before="178" w:after="0"/>
              <w:ind w:left="14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Совещаниях, конференциях, съездах, школах, слетах, конгрессах и т.п.</w:t>
            </w:r>
          </w:p>
        </w:tc>
      </w:tr>
      <w:tr>
        <w:trPr>
          <w:trHeight w:hRule="exact" w:val="782"/>
        </w:trPr>
        <w:tc>
          <w:tcPr>
            <w:tcW w:type="dxa" w:w="284"/>
            <w:tcBorders>
              <w:top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0" w:after="0"/>
              <w:ind w:left="0" w:right="0" w:firstLine="0"/>
              <w:jc w:val="center"/>
            </w:pPr>
            <w:r>
              <w:rPr>
                <w:u w:val="single" w:color="999999"/>
                <w:w w:val="102.33333375718858"/>
                <w:rFonts w:ascii="Segoe UI Semibold" w:hAnsi="Segoe UI Semibold" w:eastAsia="Segoe UI Semi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410"/>
            <w:vMerge/>
            <w:tcBorders>
              <w:top w:sz="5.600000000000023" w:val="single" w:color="#E1E1E1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4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9" w:lineRule="auto" w:before="226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Цели, основания, порядок, условия, источники финансирования, правила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определения трудоемкости учебной работы студентов в кредитах и порядок зачета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результатов академической мобильности студентов регламентируется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Положением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об академической мобильности студентов НИУ 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>Ш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122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4495800</wp:posOffset>
            </wp:positionV>
            <wp:extent cx="5080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4876800</wp:posOffset>
            </wp:positionV>
            <wp:extent cx="13462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5372100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6515100</wp:posOffset>
            </wp:positionV>
            <wp:extent cx="6877050" cy="37701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77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792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9" w:history="1">
          <w:r>
            <w:rPr>
              <w:rStyle w:val="Hyperlink"/>
            </w:rPr>
            <w:t>Редактору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8124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812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18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://www.hse.ru/studyspravka/vnutrmob" TargetMode="External"/><Relationship Id="rId12" Type="http://schemas.openxmlformats.org/officeDocument/2006/relationships/hyperlink" Target="https://www.hse.ru/studyspravka/rosmob" TargetMode="External"/><Relationship Id="rId13" Type="http://schemas.openxmlformats.org/officeDocument/2006/relationships/hyperlink" Target="https://studyabroad.hse.ru/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www.hse.ru/studyspravka/plan" TargetMode="External"/><Relationship Id="rId16" Type="http://schemas.openxmlformats.org/officeDocument/2006/relationships/hyperlink" Target="https://www.hse.ru/studyspravka/Scale" TargetMode="External"/><Relationship Id="rId17" Type="http://schemas.openxmlformats.org/officeDocument/2006/relationships/hyperlink" Target="https://www.hse.ru/docs/480101460.html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https://www.hse.ru/org/hse/info/" TargetMode="External"/><Relationship Id="rId22" Type="http://schemas.openxmlformats.org/officeDocument/2006/relationships/hyperlink" Target="https://figures.hse.ru/" TargetMode="External"/><Relationship Id="rId23" Type="http://schemas.openxmlformats.org/officeDocument/2006/relationships/hyperlink" Target="https://www.hse.ru/orgstructure/" TargetMode="External"/><Relationship Id="rId24" Type="http://schemas.openxmlformats.org/officeDocument/2006/relationships/hyperlink" Target="https://sustainability.hse.ru/" TargetMode="External"/><Relationship Id="rId25" Type="http://schemas.openxmlformats.org/officeDocument/2006/relationships/hyperlink" Target="https://www.hse.ru/org/persons/" TargetMode="External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education/" TargetMode="External"/><Relationship Id="rId37" Type="http://schemas.openxmlformats.org/officeDocument/2006/relationships/hyperlink" Target="https://school.hse.ru/" TargetMode="External"/><Relationship Id="rId38" Type="http://schemas.openxmlformats.org/officeDocument/2006/relationships/hyperlink" Target="https://fdp.hse.ru/" TargetMode="External"/><Relationship Id="rId39" Type="http://schemas.openxmlformats.org/officeDocument/2006/relationships/hyperlink" Target="https://olymp.hse.ru/" TargetMode="External"/><Relationship Id="rId40" Type="http://schemas.openxmlformats.org/officeDocument/2006/relationships/hyperlink" Target="https://ba.hse.ru/" TargetMode="External"/><Relationship Id="rId41" Type="http://schemas.openxmlformats.org/officeDocument/2006/relationships/hyperlink" Target="https://www.hse.ru/plus" TargetMode="External"/><Relationship Id="rId42" Type="http://schemas.openxmlformats.org/officeDocument/2006/relationships/hyperlink" Target="https://ma.hse.ru/" TargetMode="External"/><Relationship Id="rId43" Type="http://schemas.openxmlformats.org/officeDocument/2006/relationships/hyperlink" Target="https://aspirantura.hse.ru/" TargetMode="External"/><Relationship Id="rId44" Type="http://schemas.openxmlformats.org/officeDocument/2006/relationships/hyperlink" Target="https://busedu.hse.ru/" TargetMode="External"/><Relationship Id="rId45" Type="http://schemas.openxmlformats.org/officeDocument/2006/relationships/hyperlink" Target="https://career.hse.ru/" TargetMode="External"/><Relationship Id="rId46" Type="http://schemas.openxmlformats.org/officeDocument/2006/relationships/hyperlink" Target="http://inc.hse.ru/" TargetMode="External"/><Relationship Id="rId47" Type="http://schemas.openxmlformats.org/officeDocument/2006/relationships/hyperlink" Target="https://dd.hse.ru/" TargetMode="External"/><Relationship Id="rId48" Type="http://schemas.openxmlformats.org/officeDocument/2006/relationships/hyperlink" Target="https://www.hse.ru/feedback" TargetMode="External"/><Relationship Id="rId49" Type="http://schemas.openxmlformats.org/officeDocument/2006/relationships/hyperlink" Target="https://www.hse.ru/science/" TargetMode="External"/><Relationship Id="rId50" Type="http://schemas.openxmlformats.org/officeDocument/2006/relationships/hyperlink" Target="https://www.hse.ru/science/centers" TargetMode="External"/><Relationship Id="rId51" Type="http://schemas.openxmlformats.org/officeDocument/2006/relationships/hyperlink" Target="https://www.hse.ru/org/projects/" TargetMode="External"/><Relationship Id="rId52" Type="http://schemas.openxmlformats.org/officeDocument/2006/relationships/hyperlink" Target="https://www.hse.ru/monitoring/" TargetMode="External"/><Relationship Id="rId53" Type="http://schemas.openxmlformats.org/officeDocument/2006/relationships/hyperlink" Target="https://www.hse.ru/science/disscoun/" TargetMode="External"/><Relationship Id="rId54" Type="http://schemas.openxmlformats.org/officeDocument/2006/relationships/hyperlink" Target="https://aspirantura.hse.ru/defence/announcements/" TargetMode="External"/><Relationship Id="rId55" Type="http://schemas.openxmlformats.org/officeDocument/2006/relationships/hyperlink" Target="https://academics.hse.ru/" TargetMode="External"/><Relationship Id="rId56" Type="http://schemas.openxmlformats.org/officeDocument/2006/relationships/hyperlink" Target="https://www.hse.ru/science/hsegrants" TargetMode="External"/><Relationship Id="rId57" Type="http://schemas.openxmlformats.org/officeDocument/2006/relationships/hyperlink" Target="https://sezam.hse.ru/" TargetMode="External"/><Relationship Id="rId58" Type="http://schemas.openxmlformats.org/officeDocument/2006/relationships/hyperlink" Target="https://publications.hse.ru/" TargetMode="External"/><Relationship Id="rId59" Type="http://schemas.openxmlformats.org/officeDocument/2006/relationships/hyperlink" Target="https://library.hse.ru/" TargetMode="External"/><Relationship Id="rId60" Type="http://schemas.openxmlformats.org/officeDocument/2006/relationships/hyperlink" Target="https://id.hse.ru/" TargetMode="External"/><Relationship Id="rId61" Type="http://schemas.openxmlformats.org/officeDocument/2006/relationships/hyperlink" Target="https://bookshop.hse.ru/" TargetMode="External"/><Relationship Id="rId62" Type="http://schemas.openxmlformats.org/officeDocument/2006/relationships/hyperlink" Target="https://print.hse.ru/" TargetMode="External"/><Relationship Id="rId63" Type="http://schemas.openxmlformats.org/officeDocument/2006/relationships/hyperlink" Target="https://mc.hse.ru/" TargetMode="External"/><Relationship Id="rId64" Type="http://schemas.openxmlformats.org/officeDocument/2006/relationships/hyperlink" Target="https://www.hse.ru/science/journals" TargetMode="External"/><Relationship Id="rId65" Type="http://schemas.openxmlformats.org/officeDocument/2006/relationships/hyperlink" Target="http://www.minobrnauki.gov.ru/" TargetMode="External"/><Relationship Id="rId66" Type="http://schemas.openxmlformats.org/officeDocument/2006/relationships/hyperlink" Target="https://edu.gov.ru/" TargetMode="External"/><Relationship Id="rId67" Type="http://schemas.openxmlformats.org/officeDocument/2006/relationships/hyperlink" Target="http://www.edu.ru/" TargetMode="External"/><Relationship Id="rId68" Type="http://schemas.openxmlformats.org/officeDocument/2006/relationships/hyperlink" Target="https://elearning.hse.ru/mooc" TargetMode="External"/><Relationship Id="rId69" Type="http://schemas.openxmlformats.org/officeDocument/2006/relationships/hyperlink" Target="https://www.hse.ru/adm/edit/edit.html?goto=%2AL3N0dWR5c3ByYXZrYS9hY21vYj9fcj0zNjIxMzE2MTc3NTA4MTcwNi45NDAx%5E&amp;id=142189382&amp;cid=20594&amp;addon_name=default&amp;newportal=1" TargetMode="External"/><Relationship Id="rId70" Type="http://schemas.openxmlformats.org/officeDocument/2006/relationships/image" Target="media/image5.png"/><Relationship Id="rId71" Type="http://schemas.openxmlformats.org/officeDocument/2006/relationships/hyperlink" Target="https://www.hse.ru/contacts.html" TargetMode="External"/><Relationship Id="rId72" Type="http://schemas.openxmlformats.org/officeDocument/2006/relationships/hyperlink" Target="https://www.hse.ru/copyright" TargetMode="External"/><Relationship Id="rId73" Type="http://schemas.openxmlformats.org/officeDocument/2006/relationships/hyperlink" Target="https://www.hse.ru/data_protection_regulation" TargetMode="External"/><Relationship Id="rId74" Type="http://schemas.openxmlformats.org/officeDocument/2006/relationships/hyperlink" Target="https://www.hse.ru/sitemap.html" TargetMode="External"/><Relationship Id="rId75" Type="http://schemas.openxmlformats.org/officeDocument/2006/relationships/hyperlink" Target="https://design.hse.ru/" TargetMode="External"/><Relationship Id="rId7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