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72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Правила использования искусственного интеллекта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студентами: Информация для ППС</w:t>
      </w:r>
    </w:p>
    <w:p>
      <w:pPr>
        <w:autoSpaceDN w:val="0"/>
        <w:autoSpaceDE w:val="0"/>
        <w:widowControl/>
        <w:spacing w:line="240" w:lineRule="auto" w:before="468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74" w:lineRule="auto" w:before="528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/>
          <w:color w:val="007AC5"/>
          <w:sz w:val="26"/>
        </w:rPr>
        <w:hyperlink r:id="rId12" w:history="1">
          <w:r>
            <w:rPr>
              <w:rStyle w:val="Hyperlink"/>
            </w:rPr>
            <w:t>Декларацией этических принципов создания и использования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/>
          <w:color w:val="007AC5"/>
          <w:sz w:val="26"/>
        </w:rPr>
        <w:hyperlink r:id="rId12" w:history="1">
          <w:r>
            <w:rPr>
              <w:rStyle w:val="Hyperlink"/>
            </w:rPr>
            <w:t>систем искусственного интеллекта в НИУ ВШЭ</w:t>
          </w:r>
        </w:hyperlink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, ИИ можно и нужно использовать в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учебной и научной работе, но с соблюдением академической честности,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прозрачности и этических норм. Главное — сохранять критическое мышление и не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допускать замены человеческого интеллекта искусственным.</w:t>
      </w:r>
    </w:p>
    <w:p>
      <w:pPr>
        <w:autoSpaceDN w:val="0"/>
        <w:autoSpaceDE w:val="0"/>
        <w:widowControl/>
        <w:spacing w:line="257" w:lineRule="auto" w:before="262" w:after="0"/>
        <w:ind w:left="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НИУ ВШЭ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нет запрета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использование искусственного интеллекта (ИИ)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студентами.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студенты могут использовать ИИ</w:t>
      </w:r>
    </w:p>
    <w:p>
      <w:pPr>
        <w:autoSpaceDN w:val="0"/>
        <w:autoSpaceDE w:val="0"/>
        <w:widowControl/>
        <w:spacing w:line="269" w:lineRule="auto" w:before="226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могут использовать технологии генеративных моделей (текста,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программного кода, изображения и прочее) в процессе выполнения учебных работ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(письменных или устных) при выполнении заданий преподавателей или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руководителей практики.</w:t>
      </w:r>
    </w:p>
    <w:p>
      <w:pPr>
        <w:autoSpaceDN w:val="0"/>
        <w:autoSpaceDE w:val="0"/>
        <w:widowControl/>
        <w:spacing w:line="274" w:lineRule="auto" w:before="262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целях соблюдения академических норм они обязаны выделять результаты своей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деятельности, при реализации которой был использован ИИ, указывая характер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объем работ, выполненных с его помощью. Иными словами, студенты должны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определенным образом задекларировать использование ИИ в своих учебных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работах.</w:t>
      </w:r>
    </w:p>
    <w:p>
      <w:pPr>
        <w:autoSpaceDN w:val="0"/>
        <w:autoSpaceDE w:val="0"/>
        <w:widowControl/>
        <w:spacing w:line="274" w:lineRule="auto" w:before="246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противном случае, это рассматривается как нарушение академических норм, что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влечет за собой выставление оценки «0» за работу, в которой преподаватель/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руководитель ЭПП усматривает признаки применения ИИ, а также возможно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вынесение дисциплинарного взыскания 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Правилами внутреннего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распорядка обучающихся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1780539</wp:posOffset>
            </wp:positionH>
            <wp:positionV relativeFrom="page">
              <wp:posOffset>1924050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1358900</wp:posOffset>
            </wp:positionV>
            <wp:extent cx="6502400" cy="1879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87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0" w:after="1072"/>
        <w:ind w:left="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Ниже — подробнее о правилах декларации и последствиях неразглашения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ИИ в каждом виде работ.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5117"/>
        <w:gridCol w:w="5117"/>
      </w:tblGrid>
      <w:tr>
        <w:trPr>
          <w:trHeight w:hRule="exact" w:val="908"/>
        </w:trPr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6" w:right="28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Как студенты должны разглашать использование ИИ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в КР и ВКР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33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64" w:lineRule="auto" w:before="116" w:after="952"/>
        <w:ind w:left="300" w:right="57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При загрузке </w:t>
      </w:r>
      <w:r>
        <w:rPr>
          <w:rFonts w:ascii="Segoe UI" w:hAnsi="Segoe UI" w:eastAsia="Segoe UI"/>
          <w:b w:val="0"/>
          <w:i w:val="0"/>
          <w:color w:val="007AC5"/>
          <w:sz w:val="21"/>
        </w:rPr>
        <w:hyperlink r:id="rId15" w:history="1">
          <w:r>
            <w:rPr>
              <w:rStyle w:val="Hyperlink"/>
            </w:rPr>
            <w:t>курсовых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 и </w:t>
      </w:r>
      <w:r>
        <w:rPr>
          <w:rFonts w:ascii="Segoe UI" w:hAnsi="Segoe UI" w:eastAsia="Segoe UI"/>
          <w:b w:val="0"/>
          <w:i w:val="0"/>
          <w:color w:val="007AC5"/>
          <w:sz w:val="21"/>
        </w:rPr>
        <w:hyperlink r:id="rId16" w:history="1">
          <w:r>
            <w:rPr>
              <w:rStyle w:val="Hyperlink"/>
            </w:rPr>
            <w:t>выпускных квалификационных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 работ, студент или группа студентов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обязана заявить о целях использования ИИ с указанием конкретной технологии и оценки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успешности ее применения — для этого в </w:t>
      </w:r>
      <w:r>
        <w:rPr>
          <w:rFonts w:ascii="Segoe UI" w:hAnsi="Segoe UI" w:eastAsia="Segoe UI"/>
          <w:b w:val="0"/>
          <w:i w:val="0"/>
          <w:color w:val="007AC5"/>
          <w:sz w:val="21"/>
        </w:rPr>
        <w:hyperlink r:id="rId17" w:history="1">
          <w:r>
            <w:rPr>
              <w:rStyle w:val="Hyperlink"/>
            </w:rPr>
            <w:t>интерфейсе загрузки работ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1"/>
        </w:rPr>
        <w:t xml:space="preserve"> есть специальный раздел.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1232"/>
        </w:trPr>
        <w:tc>
          <w:tcPr>
            <w:tcW w:type="dxa" w:w="1021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4" w:after="0"/>
              <w:ind w:left="300" w:right="28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Как студенты должны декларировать использование ИИ виды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письменных учебных работ (включая практическую подготовку)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3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4229100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194" w:after="0"/>
        <w:ind w:left="300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Студент (или группа студентов) обязаны сопроводить письменное задание специальным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разделом «Описание применения генеративной модели», где обозначить:</w:t>
      </w:r>
    </w:p>
    <w:p>
      <w:pPr>
        <w:autoSpaceDN w:val="0"/>
        <w:autoSpaceDE w:val="0"/>
        <w:widowControl/>
        <w:spacing w:line="262" w:lineRule="auto" w:before="21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- части текста, подготовленные с использованием генеративных моделей (вся работа, отдельные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разделы или отдельные фрагменты работы);</w:t>
      </w:r>
    </w:p>
    <w:p>
      <w:pPr>
        <w:autoSpaceDN w:val="0"/>
        <w:autoSpaceDE w:val="0"/>
        <w:widowControl/>
        <w:spacing w:line="264" w:lineRule="auto" w:before="21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- для каждой такой части текста – цели и способ применения генеративных моделей (полностью</w:t>
      </w:r>
      <w:r>
        <w:rPr>
          <w:rFonts w:ascii="Segoe UI" w:hAnsi="Segoe UI" w:eastAsia="Segoe UI"/>
          <w:b w:val="0"/>
          <w:i w:val="0"/>
          <w:color w:val="000000"/>
          <w:sz w:val="21"/>
        </w:rPr>
        <w:t>сгенерированный текст, сгенерированный текст, подвергнутый авторской редакции или</w:t>
      </w:r>
      <w:r>
        <w:rPr>
          <w:rFonts w:ascii="Segoe UI" w:hAnsi="Segoe UI" w:eastAsia="Segoe UI"/>
          <w:b w:val="0"/>
          <w:i w:val="0"/>
          <w:color w:val="000000"/>
          <w:sz w:val="21"/>
        </w:rPr>
        <w:t>авторский текст с использованием сгенерированных материалов);</w:t>
      </w:r>
    </w:p>
    <w:p>
      <w:pPr>
        <w:autoSpaceDN w:val="0"/>
        <w:autoSpaceDE w:val="0"/>
        <w:widowControl/>
        <w:spacing w:line="262" w:lineRule="auto" w:before="216" w:after="156"/>
        <w:ind w:left="300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1"/>
        </w:rPr>
        <w:t>- для каждой использованной генеративной модели – ее название, адреса сайта в интернете</w:t>
      </w:r>
      <w:r>
        <w:rPr>
          <w:rFonts w:ascii="Segoe UI" w:hAnsi="Segoe UI" w:eastAsia="Segoe UI"/>
          <w:b w:val="0"/>
          <w:i w:val="0"/>
          <w:color w:val="000000"/>
          <w:sz w:val="21"/>
        </w:rPr>
        <w:t>(либо описания иного источника модели);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98"/>
        </w:trPr>
        <w:tc>
          <w:tcPr>
            <w:tcW w:type="dxa" w:w="992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- оценку эффективности применения генеративных моделей для достижения поставленных целей.</w:t>
            </w:r>
          </w:p>
        </w:tc>
      </w:tr>
    </w:tbl>
    <w:p>
      <w:pPr>
        <w:autoSpaceDN w:val="0"/>
        <w:autoSpaceDE w:val="0"/>
        <w:widowControl/>
        <w:spacing w:line="245" w:lineRule="auto" w:before="1406" w:after="0"/>
        <w:ind w:left="0" w:right="288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Возможности ограничения использования ИИ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преподавателями и руководителями ЭПП</w:t>
      </w:r>
    </w:p>
    <w:p>
      <w:pPr>
        <w:autoSpaceDN w:val="0"/>
        <w:autoSpaceDE w:val="0"/>
        <w:widowControl/>
        <w:spacing w:line="264" w:lineRule="auto" w:before="24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 о правомерности использования в письменных учебных работах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генеративных моделей (при условии заполненного специального раздела) принимает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преподаватель/руководитель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ЭПП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0" w:lineRule="auto" w:before="380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Преподаватели</w:t>
      </w:r>
    </w:p>
    <w:p>
      <w:pPr>
        <w:sectPr>
          <w:pgSz w:w="11918" w:h="16858"/>
          <w:pgMar w:top="350" w:right="828" w:bottom="702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2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Преподаватель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может запретить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использование генеративных моделей во время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проведения элементов контроля — в таком случае, он указывает это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программе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учебной дисциплины (ПУД)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Если такой запрет указан в ПУД, то преподаватель может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поставить оценку «0» за работу, в которой он усматривает признаки применения ИИ.</w:t>
      </w:r>
    </w:p>
    <w:p>
      <w:pPr>
        <w:autoSpaceDN w:val="0"/>
        <w:autoSpaceDE w:val="0"/>
        <w:widowControl/>
        <w:spacing w:line="269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Также преподаватель может проверить любую работу студента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недопустимые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заимствования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(включая сгенерированные тексты). Если студент не задекларировал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ИИ в своей работе установленным образом, то преподаватель может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поставить оценку «0» за работу, в которой он усматривает признаки применения ИИ.</w:t>
      </w:r>
    </w:p>
    <w:p>
      <w:pPr>
        <w:autoSpaceDN w:val="0"/>
        <w:autoSpaceDE w:val="0"/>
        <w:widowControl/>
        <w:spacing w:line="240" w:lineRule="auto" w:before="382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Руководители ЭПП</w:t>
      </w:r>
    </w:p>
    <w:p>
      <w:pPr>
        <w:autoSpaceDN w:val="0"/>
        <w:autoSpaceDE w:val="0"/>
        <w:widowControl/>
        <w:spacing w:line="271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Руководитель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ЭПП</w:t>
          </w:r>
        </w:hyperlink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 желанию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может проверить любую работу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студента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недопустимые заимствования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(включая сгенерированные тексты). Если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не задекларировал использование ИИ в своей работе установленным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образом, то руководитель может поставить оценку «0» за работу, в которой он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усматривает признаки применения ИИ.</w:t>
      </w:r>
    </w:p>
    <w:p>
      <w:pPr>
        <w:autoSpaceDN w:val="0"/>
        <w:autoSpaceDE w:val="0"/>
        <w:widowControl/>
        <w:spacing w:line="240" w:lineRule="auto" w:before="121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5156200</wp:posOffset>
            </wp:positionV>
            <wp:extent cx="508000" cy="241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5537200</wp:posOffset>
            </wp:positionV>
            <wp:extent cx="1346200" cy="317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7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6029960</wp:posOffset>
            </wp:positionV>
            <wp:extent cx="2286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4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62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6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7200900</wp:posOffset>
            </wp:positionV>
            <wp:extent cx="6877050" cy="308467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0846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186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1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4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3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26" w:lineRule="auto" w:before="184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Министерство просвещения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427990</wp:posOffset>
            </wp:positionV>
            <wp:extent cx="6877050" cy="149790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4979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38" w:lineRule="auto" w:before="16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5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hyperlink" Target="https://www.hse.ru/docs/969670638.html" TargetMode="External"/><Relationship Id="rId13" Type="http://schemas.openxmlformats.org/officeDocument/2006/relationships/hyperlink" Target="https://www.hse.ru/docs/187025700.html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www.hse.ru/studyspravka/kursovrab" TargetMode="External"/><Relationship Id="rId16" Type="http://schemas.openxmlformats.org/officeDocument/2006/relationships/hyperlink" Target="https://www.hse.ru/studyspravka/vkr" TargetMode="External"/><Relationship Id="rId17" Type="http://schemas.openxmlformats.org/officeDocument/2006/relationships/hyperlink" Target="https://www.hse.ru/studyspravka/instpaliat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://www.hse.ru/studyspravka/practice" TargetMode="External"/><Relationship Id="rId20" Type="http://schemas.openxmlformats.org/officeDocument/2006/relationships/image" Target="media/image3.png"/><Relationship Id="rId21" Type="http://schemas.openxmlformats.org/officeDocument/2006/relationships/hyperlink" Target="https://www.hse.ru/studyspravka/programmauchdisc" TargetMode="External"/><Relationship Id="rId22" Type="http://schemas.openxmlformats.org/officeDocument/2006/relationships/hyperlink" Target="https://www.hse.ru/studyspravka/plagiat" TargetMode="External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hyperlink" Target="https://www.hse.ru/org/hse/info/" TargetMode="External"/><Relationship Id="rId27" Type="http://schemas.openxmlformats.org/officeDocument/2006/relationships/hyperlink" Target="https://figures.hse.ru/" TargetMode="External"/><Relationship Id="rId28" Type="http://schemas.openxmlformats.org/officeDocument/2006/relationships/hyperlink" Target="https://www.hse.ru/orgstructure/" TargetMode="External"/><Relationship Id="rId29" Type="http://schemas.openxmlformats.org/officeDocument/2006/relationships/hyperlink" Target="https://sustainability.hse.ru/" TargetMode="External"/><Relationship Id="rId30" Type="http://schemas.openxmlformats.org/officeDocument/2006/relationships/hyperlink" Target="https://www.hse.ru/org/persons/" TargetMode="External"/><Relationship Id="rId31" Type="http://schemas.openxmlformats.org/officeDocument/2006/relationships/hyperlink" Target="https://www.hse.ru/buildinghse" TargetMode="External"/><Relationship Id="rId32" Type="http://schemas.openxmlformats.org/officeDocument/2006/relationships/hyperlink" Target="https://www.hse.ru/org/hse/aup/procurement/" TargetMode="External"/><Relationship Id="rId33" Type="http://schemas.openxmlformats.org/officeDocument/2006/relationships/hyperlink" Target="https://www.hse.ru/appeal/" TargetMode="External"/><Relationship Id="rId34" Type="http://schemas.openxmlformats.org/officeDocument/2006/relationships/hyperlink" Target="https://endowment.hse.ru/" TargetMode="External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hyperlink" Target="https://www.hse.ru/education/" TargetMode="External"/><Relationship Id="rId42" Type="http://schemas.openxmlformats.org/officeDocument/2006/relationships/hyperlink" Target="https://school.hse.ru/" TargetMode="External"/><Relationship Id="rId43" Type="http://schemas.openxmlformats.org/officeDocument/2006/relationships/hyperlink" Target="https://fdp.hse.ru/" TargetMode="External"/><Relationship Id="rId44" Type="http://schemas.openxmlformats.org/officeDocument/2006/relationships/hyperlink" Target="https://olymp.hse.ru/" TargetMode="External"/><Relationship Id="rId45" Type="http://schemas.openxmlformats.org/officeDocument/2006/relationships/hyperlink" Target="https://ba.hse.ru/" TargetMode="External"/><Relationship Id="rId46" Type="http://schemas.openxmlformats.org/officeDocument/2006/relationships/hyperlink" Target="https://www.hse.ru/plus" TargetMode="External"/><Relationship Id="rId47" Type="http://schemas.openxmlformats.org/officeDocument/2006/relationships/hyperlink" Target="https://ma.hse.ru/" TargetMode="External"/><Relationship Id="rId48" Type="http://schemas.openxmlformats.org/officeDocument/2006/relationships/hyperlink" Target="https://aspirantura.hse.ru/" TargetMode="External"/><Relationship Id="rId49" Type="http://schemas.openxmlformats.org/officeDocument/2006/relationships/hyperlink" Target="https://busedu.hse.ru/" TargetMode="External"/><Relationship Id="rId50" Type="http://schemas.openxmlformats.org/officeDocument/2006/relationships/hyperlink" Target="https://career.hse.ru/" TargetMode="External"/><Relationship Id="rId51" Type="http://schemas.openxmlformats.org/officeDocument/2006/relationships/hyperlink" Target="http://inc.hse.ru/" TargetMode="External"/><Relationship Id="rId52" Type="http://schemas.openxmlformats.org/officeDocument/2006/relationships/hyperlink" Target="https://dd.hse.ru/" TargetMode="External"/><Relationship Id="rId53" Type="http://schemas.openxmlformats.org/officeDocument/2006/relationships/hyperlink" Target="https://www.hse.ru/feedback" TargetMode="External"/><Relationship Id="rId54" Type="http://schemas.openxmlformats.org/officeDocument/2006/relationships/hyperlink" Target="https://www.hse.ru/science/" TargetMode="External"/><Relationship Id="rId55" Type="http://schemas.openxmlformats.org/officeDocument/2006/relationships/hyperlink" Target="https://www.hse.ru/science/centers" TargetMode="External"/><Relationship Id="rId56" Type="http://schemas.openxmlformats.org/officeDocument/2006/relationships/hyperlink" Target="https://www.hse.ru/org/projects/" TargetMode="External"/><Relationship Id="rId57" Type="http://schemas.openxmlformats.org/officeDocument/2006/relationships/hyperlink" Target="https://www.hse.ru/monitoring/" TargetMode="External"/><Relationship Id="rId58" Type="http://schemas.openxmlformats.org/officeDocument/2006/relationships/hyperlink" Target="https://www.hse.ru/science/disscoun/" TargetMode="External"/><Relationship Id="rId59" Type="http://schemas.openxmlformats.org/officeDocument/2006/relationships/hyperlink" Target="https://aspirantura.hse.ru/defence/announcements/" TargetMode="External"/><Relationship Id="rId60" Type="http://schemas.openxmlformats.org/officeDocument/2006/relationships/hyperlink" Target="https://academics.hse.ru/" TargetMode="External"/><Relationship Id="rId61" Type="http://schemas.openxmlformats.org/officeDocument/2006/relationships/hyperlink" Target="https://www.hse.ru/science/hsegrants" TargetMode="External"/><Relationship Id="rId62" Type="http://schemas.openxmlformats.org/officeDocument/2006/relationships/hyperlink" Target="https://sezam.hse.ru/" TargetMode="External"/><Relationship Id="rId63" Type="http://schemas.openxmlformats.org/officeDocument/2006/relationships/hyperlink" Target="https://publications.hse.ru/" TargetMode="External"/><Relationship Id="rId64" Type="http://schemas.openxmlformats.org/officeDocument/2006/relationships/hyperlink" Target="https://library.hse.ru/" TargetMode="External"/><Relationship Id="rId65" Type="http://schemas.openxmlformats.org/officeDocument/2006/relationships/hyperlink" Target="https://id.hse.ru/" TargetMode="External"/><Relationship Id="rId66" Type="http://schemas.openxmlformats.org/officeDocument/2006/relationships/hyperlink" Target="https://bookshop.hse.ru/" TargetMode="External"/><Relationship Id="rId67" Type="http://schemas.openxmlformats.org/officeDocument/2006/relationships/hyperlink" Target="https://print.hse.ru/" TargetMode="External"/><Relationship Id="rId68" Type="http://schemas.openxmlformats.org/officeDocument/2006/relationships/hyperlink" Target="https://mc.hse.ru/" TargetMode="External"/><Relationship Id="rId69" Type="http://schemas.openxmlformats.org/officeDocument/2006/relationships/hyperlink" Target="https://www.hse.ru/science/journals" TargetMode="External"/><Relationship Id="rId70" Type="http://schemas.openxmlformats.org/officeDocument/2006/relationships/hyperlink" Target="http://www.minobrnauki.gov.ru/" TargetMode="External"/><Relationship Id="rId71" Type="http://schemas.openxmlformats.org/officeDocument/2006/relationships/hyperlink" Target="https://edu.gov.ru/" TargetMode="External"/><Relationship Id="rId72" Type="http://schemas.openxmlformats.org/officeDocument/2006/relationships/image" Target="media/image7.png"/><Relationship Id="rId73" Type="http://schemas.openxmlformats.org/officeDocument/2006/relationships/hyperlink" Target="http://www.edu.ru/" TargetMode="External"/><Relationship Id="rId74" Type="http://schemas.openxmlformats.org/officeDocument/2006/relationships/hyperlink" Target="https://elearning.hse.ru/mooc" TargetMode="External"/><Relationship Id="rId75" Type="http://schemas.openxmlformats.org/officeDocument/2006/relationships/hyperlink" Target="https://www.hse.ru/adm/edit/edit.html?goto=%2AL3N0dWR5c3ByYXZrYS9haV9ndWlkZWxpbmVzX3Bwcz9fcj0zNjIyNTgxMTc3NTA4MjAyNi4wOTc0%5ENA%3D%3D%5E&amp;id=1060426266&amp;cid=20594&amp;addon_name=default&amp;newportal=1" TargetMode="External"/><Relationship Id="rId76" Type="http://schemas.openxmlformats.org/officeDocument/2006/relationships/hyperlink" Target="https://www.hse.ru/contacts.html" TargetMode="External"/><Relationship Id="rId77" Type="http://schemas.openxmlformats.org/officeDocument/2006/relationships/hyperlink" Target="https://www.hse.ru/copyright" TargetMode="External"/><Relationship Id="rId78" Type="http://schemas.openxmlformats.org/officeDocument/2006/relationships/hyperlink" Target="https://www.hse.ru/data_protection_regulation" TargetMode="External"/><Relationship Id="rId79" Type="http://schemas.openxmlformats.org/officeDocument/2006/relationships/hyperlink" Target="https://www.hse.ru/sitemap.html" TargetMode="External"/><Relationship Id="rId80" Type="http://schemas.openxmlformats.org/officeDocument/2006/relationships/hyperlink" Target="https://design.hse.ru/" TargetMode="External"/><Relationship Id="rId8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