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966" w:val="left"/>
        </w:tabs>
        <w:autoSpaceDE w:val="0"/>
        <w:widowControl/>
        <w:spacing w:line="240" w:lineRule="auto" w:before="198" w:after="0"/>
        <w:ind w:left="678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0" w:lineRule="auto" w:before="1446" w:after="638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Особенности ГИА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26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Если Вы нуждаетесь в индивидуальных условиях проведения ГИА,</w:t>
            </w:r>
          </w:p>
        </w:tc>
      </w:tr>
    </w:tbl>
    <w:p>
      <w:pPr>
        <w:autoSpaceDN w:val="0"/>
        <w:autoSpaceDE w:val="0"/>
        <w:widowControl/>
        <w:spacing w:line="240" w:lineRule="auto" w:before="18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необходимо не позднее, чем за 3 месяца до начала проведения ГИА</w:t>
      </w:r>
    </w:p>
    <w:p>
      <w:pPr>
        <w:autoSpaceDN w:val="0"/>
        <w:autoSpaceDE w:val="0"/>
        <w:widowControl/>
        <w:spacing w:line="240" w:lineRule="auto" w:before="66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написать письменное заявление с описанием необходимых условий на имя</w:t>
      </w:r>
    </w:p>
    <w:p>
      <w:pPr>
        <w:autoSpaceDN w:val="0"/>
        <w:autoSpaceDE w:val="0"/>
        <w:widowControl/>
        <w:spacing w:line="240" w:lineRule="auto" w:before="52" w:after="26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академического руководителя в учебный офис образовательной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программы.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362"/>
        </w:trPr>
        <w:tc>
          <w:tcPr>
            <w:tcW w:type="dxa" w:w="10066"/>
            <w:tcBorders>
              <w:top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54" w:after="0"/>
              <w:ind w:left="4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 заявлении указывается необходимость (при наличии таковой):</w:t>
            </w:r>
          </w:p>
        </w:tc>
      </w:tr>
    </w:tbl>
    <w:p>
      <w:pPr>
        <w:autoSpaceDN w:val="0"/>
        <w:autoSpaceDE w:val="0"/>
        <w:widowControl/>
        <w:spacing w:line="1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1016"/>
        </w:trPr>
        <w:tc>
          <w:tcPr>
            <w:tcW w:type="dxa" w:w="1748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60" w:after="0"/>
              <w:ind w:left="1296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00009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60" w:after="0"/>
              <w:ind w:left="6" w:right="864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замены формы прохождения ГИА испытания (устная / письменная);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присутствия технического ассистента на государственном экзамене /</w:t>
            </w:r>
          </w:p>
        </w:tc>
      </w:tr>
    </w:tbl>
    <w:p>
      <w:pPr>
        <w:autoSpaceDN w:val="0"/>
        <w:autoSpaceDE w:val="0"/>
        <w:widowControl/>
        <w:spacing w:line="240" w:lineRule="auto" w:before="34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защите диплома;</w:t>
      </w:r>
    </w:p>
    <w:p>
      <w:pPr>
        <w:autoSpaceDN w:val="0"/>
        <w:autoSpaceDE w:val="0"/>
        <w:widowControl/>
        <w:spacing w:line="240" w:lineRule="auto" w:before="246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предоставления дополнительных технических средств или</w:t>
      </w:r>
    </w:p>
    <w:p>
      <w:pPr>
        <w:autoSpaceDN w:val="0"/>
        <w:autoSpaceDE w:val="0"/>
        <w:widowControl/>
        <w:spacing w:line="240" w:lineRule="auto" w:before="52" w:after="0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специального программного обеспечения;</w:t>
      </w:r>
    </w:p>
    <w:p>
      <w:pPr>
        <w:autoSpaceDN w:val="0"/>
        <w:autoSpaceDE w:val="0"/>
        <w:widowControl/>
        <w:spacing w:line="240" w:lineRule="auto" w:before="246" w:after="26"/>
        <w:ind w:left="14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— 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увеличения продолжительности сдачи гос. экзамена / защиты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18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диплома.</w:t>
            </w:r>
          </w:p>
        </w:tc>
      </w:tr>
    </w:tbl>
    <w:p>
      <w:pPr>
        <w:autoSpaceDN w:val="0"/>
        <w:autoSpaceDE w:val="0"/>
        <w:widowControl/>
        <w:spacing w:line="3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1334"/>
        </w:trPr>
        <w:tc>
          <w:tcPr>
            <w:tcW w:type="dxa" w:w="10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0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Продолжительность государственного аттестационного испытания может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3.9999999999999" w:type="dxa"/>
      </w:tblPr>
      <w:tblGrid>
        <w:gridCol w:w="10824"/>
      </w:tblGrid>
      <w:tr>
        <w:trPr>
          <w:trHeight w:hRule="exact" w:val="400"/>
        </w:trPr>
        <w:tc>
          <w:tcPr>
            <w:tcW w:type="dxa" w:w="10200"/>
            <w:tcBorders/>
            <w:shd w:fill="efefe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" w:after="0"/>
              <w:ind w:left="524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быть увеличена: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8" w:h="16858"/>
          <w:pgMar w:top="438" w:right="542" w:bottom="6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2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412"/>
        <w:gridCol w:w="5412"/>
      </w:tblGrid>
      <w:tr>
        <w:trPr>
          <w:trHeight w:hRule="exact" w:val="1526"/>
        </w:trPr>
        <w:tc>
          <w:tcPr>
            <w:tcW w:type="dxa" w:w="1748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76" w:after="0"/>
              <w:ind w:left="1296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  <w:r>
              <w:br/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905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576" w:after="0"/>
              <w:ind w:left="6" w:right="1152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госэкзамен (в письменной форме) — не более чем на 90 минут;</w:t>
            </w: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подготовка к ответу на гос. экзамене (в устной форме) — не более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5412"/>
        <w:gridCol w:w="5412"/>
      </w:tblGrid>
      <w:tr>
        <w:trPr>
          <w:trHeight w:hRule="exact" w:val="490"/>
        </w:trPr>
        <w:tc>
          <w:tcPr>
            <w:tcW w:type="dxa" w:w="10066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1058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чем на 20 минут;</w:t>
            </w:r>
          </w:p>
        </w:tc>
      </w:tr>
      <w:tr>
        <w:trPr>
          <w:trHeight w:hRule="exact" w:val="1556"/>
        </w:trPr>
        <w:tc>
          <w:tcPr>
            <w:tcW w:type="dxa" w:w="137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righ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 xml:space="preserve">— </w:t>
            </w:r>
          </w:p>
        </w:tc>
        <w:tc>
          <w:tcPr>
            <w:tcW w:type="dxa" w:w="8688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6" w:right="0" w:firstLine="0"/>
              <w:jc w:val="left"/>
            </w:pPr>
            <w:r>
              <w:rPr>
                <w:w w:val="98.07692307692307"/>
                <w:rFonts w:ascii="Segoe UI" w:hAnsi="Segoe UI" w:eastAsia="Segoe UI"/>
                <w:b w:val="0"/>
                <w:i w:val="0"/>
                <w:color w:val="000000"/>
                <w:sz w:val="26"/>
              </w:rPr>
              <w:t>выступление студента при защите ВКР — не более чем на 15 минут.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824"/>
      </w:tblGrid>
      <w:tr>
        <w:trPr>
          <w:trHeight w:hRule="exact" w:val="1656"/>
        </w:trPr>
        <w:tc>
          <w:tcPr>
            <w:tcW w:type="dxa" w:w="1080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84" w:after="0"/>
              <w:ind w:left="828" w:right="0" w:firstLine="0"/>
              <w:jc w:val="left"/>
            </w:pPr>
            <w:r>
              <w:rPr>
                <w:w w:val="98.07692307692307"/>
                <w:rFonts w:ascii="Segoe UI Semibold" w:hAnsi="Segoe UI Semibold" w:eastAsia="Segoe UI Semibold"/>
                <w:b/>
                <w:i w:val="0"/>
                <w:color w:val="000000"/>
                <w:sz w:val="26"/>
              </w:rPr>
              <w:t>‍К заявлению нужно приложить копию медицинских документов, которые</w:t>
            </w:r>
          </w:p>
        </w:tc>
      </w:tr>
    </w:tbl>
    <w:p>
      <w:pPr>
        <w:autoSpaceDN w:val="0"/>
        <w:autoSpaceDE w:val="0"/>
        <w:widowControl/>
        <w:spacing w:line="264" w:lineRule="auto" w:before="34" w:after="0"/>
        <w:ind w:left="828" w:right="1152" w:firstLine="0"/>
        <w:jc w:val="left"/>
      </w:pP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будут являться основанием для создания данных условий, или сами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медицинские документы, если их по какой-либо причине медицинских</w:t>
      </w:r>
      <w:r>
        <w:rPr>
          <w:w w:val="98.07692307692307"/>
          <w:rFonts w:ascii="Segoe UI Semibold" w:hAnsi="Segoe UI Semibold" w:eastAsia="Segoe UI Semibold"/>
          <w:b/>
          <w:i w:val="0"/>
          <w:color w:val="000000"/>
          <w:sz w:val="26"/>
        </w:rPr>
        <w:t>документов еще нет в личном деле студента.</w:t>
      </w:r>
    </w:p>
    <w:p>
      <w:pPr>
        <w:autoSpaceDN w:val="0"/>
        <w:autoSpaceDE w:val="0"/>
        <w:widowControl/>
        <w:spacing w:line="264" w:lineRule="auto" w:before="262" w:after="0"/>
        <w:ind w:left="828" w:right="144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Основания предоставления специальных условий на ГИА закреплены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 </w:t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Особенностях организации государственной итоговой аттестации для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10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1003300</wp:posOffset>
            </wp:positionH>
            <wp:positionV relativeFrom="page">
              <wp:posOffset>4546600</wp:posOffset>
            </wp:positionV>
            <wp:extent cx="52578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59" w:lineRule="auto" w:before="24" w:after="0"/>
        <w:ind w:left="828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студентов образовательных программ высшего образования – программ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бакалавриата, специалитета и магистратуры Национального</w:t>
          </w:r>
        </w:hyperlink>
      </w:r>
    </w:p>
    <w:p>
      <w:pPr>
        <w:autoSpaceDN w:val="0"/>
        <w:autoSpaceDE w:val="0"/>
        <w:widowControl/>
        <w:spacing w:line="240" w:lineRule="auto" w:before="0" w:after="0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5041900</wp:posOffset>
            </wp:positionV>
            <wp:extent cx="4533900" cy="254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40" w:after="0"/>
        <w:ind w:left="828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2" w:history="1">
          <w:r>
            <w:rPr>
              <w:rStyle w:val="Hyperlink"/>
            </w:rPr>
            <w:t>исследовательского университета «Высшая школа экономики» из числа</w:t>
          </w:r>
        </w:hyperlink>
      </w:r>
    </w:p>
    <w:p>
      <w:pPr>
        <w:autoSpaceDN w:val="0"/>
        <w:autoSpaceDE w:val="0"/>
        <w:widowControl/>
        <w:spacing w:line="240" w:lineRule="auto" w:before="0" w:after="16"/>
        <w:ind w:left="82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876300</wp:posOffset>
            </wp:positionH>
            <wp:positionV relativeFrom="page">
              <wp:posOffset>5295900</wp:posOffset>
            </wp:positionV>
            <wp:extent cx="5384800" cy="254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70.0" w:type="dxa"/>
      </w:tblPr>
      <w:tblGrid>
        <w:gridCol w:w="10824"/>
      </w:tblGrid>
      <w:tr>
        <w:trPr>
          <w:trHeight w:hRule="exact" w:val="1106"/>
        </w:trPr>
        <w:tc>
          <w:tcPr>
            <w:tcW w:type="dxa" w:w="10066"/>
            <w:tcBorders>
              <w:bottom w:sz="6.0" w:val="single" w:color="#EFEFE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458" w:right="0" w:firstLine="0"/>
              <w:jc w:val="left"/>
            </w:pPr>
            <w:r>
              <w:rPr>
                <w:u w:val="single" w:color="0079c4"/>
                <w:w w:val="98.07692307692307"/>
                <w:rFonts w:ascii="Segoe UI" w:hAnsi="Segoe UI" w:eastAsia="Segoe UI"/>
                <w:b w:val="0"/>
                <w:i w:val="0"/>
                <w:color w:val="007AC5"/>
                <w:sz w:val="26"/>
              </w:rPr>
              <w:hyperlink r:id="rId12" w:history="1">
                <w:r>
                  <w:rPr>
                    <w:rStyle w:val="Hyperlink"/>
                  </w:rPr>
                  <w:t>инвалидов и лиц с ограниченными возможностями здоровья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40" w:lineRule="auto" w:before="1178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6781800</wp:posOffset>
            </wp:positionV>
            <wp:extent cx="508000" cy="241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8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7162800</wp:posOffset>
            </wp:positionV>
            <wp:extent cx="1346200" cy="317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7668259</wp:posOffset>
            </wp:positionV>
            <wp:extent cx="228600" cy="2286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50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36" w:after="0"/>
        <w:ind w:left="304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240" w:lineRule="auto" w:before="1474" w:after="0"/>
        <w:ind w:left="304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19" w:history="1">
          <w:r>
            <w:rPr>
              <w:rStyle w:val="Hyperlink"/>
            </w:rPr>
            <w:t>О ВЫШКЕ</w:t>
          </w:r>
        </w:hyperlink>
      </w:r>
    </w:p>
    <w:p>
      <w:pPr>
        <w:autoSpaceDN w:val="0"/>
        <w:autoSpaceDE w:val="0"/>
        <w:widowControl/>
        <w:spacing w:line="240" w:lineRule="auto" w:before="142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0" w:history="1">
          <w:r>
            <w:rPr>
              <w:rStyle w:val="Hyperlink"/>
            </w:rPr>
            <w:t>Цифры и факты</w:t>
          </w:r>
        </w:hyperlink>
      </w:r>
    </w:p>
    <w:p>
      <w:pPr>
        <w:autoSpaceDN w:val="0"/>
        <w:autoSpaceDE w:val="0"/>
        <w:widowControl/>
        <w:spacing w:line="240" w:lineRule="auto" w:before="136" w:after="0"/>
        <w:ind w:left="304" w:right="0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1" w:history="1">
          <w:r>
            <w:rPr>
              <w:rStyle w:val="Hyperlink"/>
            </w:rPr>
            <w:t>Руководство и структура</w:t>
          </w:r>
        </w:hyperlink>
      </w:r>
    </w:p>
    <w:p>
      <w:pPr>
        <w:sectPr>
          <w:pgSz w:w="11918" w:h="16858"/>
          <w:pgMar w:top="0" w:right="542" w:bottom="336" w:left="55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9019540</wp:posOffset>
            </wp:positionV>
            <wp:extent cx="6877050" cy="126306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26306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5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2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3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4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5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6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7" w:history="1">
          <w:r>
            <w:rPr>
              <w:rStyle w:val="Hyperlink"/>
            </w:rPr>
            <w:t>Фонд целевого капитала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8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29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0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60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4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5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7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34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6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8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Книжный магазин «БукВышка»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425450</wp:posOffset>
            </wp:positionV>
            <wp:extent cx="6877050" cy="3319517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331951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36" w:lineRule="auto" w:before="18" w:after="0"/>
        <w:ind w:left="300" w:right="9216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41" w:lineRule="auto" w:before="200" w:after="0"/>
        <w:ind w:left="300" w:right="6048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76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68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www.hse.ru/docs/462964499.html" TargetMode="Externa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hyperlink" Target="https://www.hse.ru/org/hse/info/" TargetMode="External"/><Relationship Id="rId20" Type="http://schemas.openxmlformats.org/officeDocument/2006/relationships/hyperlink" Target="https://figures.hse.ru/" TargetMode="External"/><Relationship Id="rId21" Type="http://schemas.openxmlformats.org/officeDocument/2006/relationships/hyperlink" Target="https://www.hse.ru/orgstructure/" TargetMode="External"/><Relationship Id="rId22" Type="http://schemas.openxmlformats.org/officeDocument/2006/relationships/hyperlink" Target="https://sustainability.hse.ru/" TargetMode="External"/><Relationship Id="rId23" Type="http://schemas.openxmlformats.org/officeDocument/2006/relationships/hyperlink" Target="https://www.hse.ru/org/persons/" TargetMode="External"/><Relationship Id="rId24" Type="http://schemas.openxmlformats.org/officeDocument/2006/relationships/hyperlink" Target="https://www.hse.ru/buildinghse" TargetMode="External"/><Relationship Id="rId25" Type="http://schemas.openxmlformats.org/officeDocument/2006/relationships/hyperlink" Target="https://www.hse.ru/org/hse/aup/procurement/" TargetMode="External"/><Relationship Id="rId26" Type="http://schemas.openxmlformats.org/officeDocument/2006/relationships/hyperlink" Target="https://www.hse.ru/appeal/" TargetMode="External"/><Relationship Id="rId27" Type="http://schemas.openxmlformats.org/officeDocument/2006/relationships/hyperlink" Target="https://endowment.hse.ru/" TargetMode="External"/><Relationship Id="rId28" Type="http://schemas.openxmlformats.org/officeDocument/2006/relationships/hyperlink" Target="https://www.hse.ru/anticorruption" TargetMode="External"/><Relationship Id="rId29" Type="http://schemas.openxmlformats.org/officeDocument/2006/relationships/hyperlink" Target="https://www.hse.ru/anticorruption/information" TargetMode="External"/><Relationship Id="rId30" Type="http://schemas.openxmlformats.org/officeDocument/2006/relationships/hyperlink" Target="https://www.hse.ru/sveden/" TargetMode="External"/><Relationship Id="rId31" Type="http://schemas.openxmlformats.org/officeDocument/2006/relationships/hyperlink" Target="https://inclusive.hse.ru/" TargetMode="External"/><Relationship Id="rId32" Type="http://schemas.openxmlformats.org/officeDocument/2006/relationships/hyperlink" Target="https://pay.hse.ru/" TargetMode="External"/><Relationship Id="rId33" Type="http://schemas.openxmlformats.org/officeDocument/2006/relationships/hyperlink" Target="https://www.hse.ru/career" TargetMode="External"/><Relationship Id="rId34" Type="http://schemas.openxmlformats.org/officeDocument/2006/relationships/hyperlink" Target="https://www.hse.ru/education/" TargetMode="External"/><Relationship Id="rId35" Type="http://schemas.openxmlformats.org/officeDocument/2006/relationships/hyperlink" Target="https://school.hse.ru/" TargetMode="External"/><Relationship Id="rId36" Type="http://schemas.openxmlformats.org/officeDocument/2006/relationships/hyperlink" Target="https://fdp.hse.ru/" TargetMode="External"/><Relationship Id="rId37" Type="http://schemas.openxmlformats.org/officeDocument/2006/relationships/hyperlink" Target="https://olymp.hse.ru/" TargetMode="External"/><Relationship Id="rId38" Type="http://schemas.openxmlformats.org/officeDocument/2006/relationships/hyperlink" Target="https://ba.hse.ru/" TargetMode="External"/><Relationship Id="rId39" Type="http://schemas.openxmlformats.org/officeDocument/2006/relationships/hyperlink" Target="https://www.hse.ru/plus" TargetMode="External"/><Relationship Id="rId40" Type="http://schemas.openxmlformats.org/officeDocument/2006/relationships/hyperlink" Target="https://ma.hse.ru/" TargetMode="External"/><Relationship Id="rId41" Type="http://schemas.openxmlformats.org/officeDocument/2006/relationships/hyperlink" Target="https://aspirantura.hse.ru/" TargetMode="External"/><Relationship Id="rId42" Type="http://schemas.openxmlformats.org/officeDocument/2006/relationships/hyperlink" Target="https://busedu.hse.ru/" TargetMode="External"/><Relationship Id="rId43" Type="http://schemas.openxmlformats.org/officeDocument/2006/relationships/hyperlink" Target="https://career.hse.ru/" TargetMode="External"/><Relationship Id="rId44" Type="http://schemas.openxmlformats.org/officeDocument/2006/relationships/hyperlink" Target="http://inc.hse.ru/" TargetMode="External"/><Relationship Id="rId45" Type="http://schemas.openxmlformats.org/officeDocument/2006/relationships/hyperlink" Target="https://dd.hse.ru/" TargetMode="External"/><Relationship Id="rId46" Type="http://schemas.openxmlformats.org/officeDocument/2006/relationships/hyperlink" Target="https://www.hse.ru/feedback" TargetMode="External"/><Relationship Id="rId47" Type="http://schemas.openxmlformats.org/officeDocument/2006/relationships/hyperlink" Target="https://www.hse.ru/science/" TargetMode="External"/><Relationship Id="rId48" Type="http://schemas.openxmlformats.org/officeDocument/2006/relationships/hyperlink" Target="https://www.hse.ru/science/centers" TargetMode="External"/><Relationship Id="rId49" Type="http://schemas.openxmlformats.org/officeDocument/2006/relationships/hyperlink" Target="https://www.hse.ru/org/projects/" TargetMode="External"/><Relationship Id="rId50" Type="http://schemas.openxmlformats.org/officeDocument/2006/relationships/hyperlink" Target="https://www.hse.ru/monitoring/" TargetMode="External"/><Relationship Id="rId51" Type="http://schemas.openxmlformats.org/officeDocument/2006/relationships/hyperlink" Target="https://www.hse.ru/science/disscoun/" TargetMode="External"/><Relationship Id="rId52" Type="http://schemas.openxmlformats.org/officeDocument/2006/relationships/hyperlink" Target="https://aspirantura.hse.ru/defence/announcements/" TargetMode="External"/><Relationship Id="rId53" Type="http://schemas.openxmlformats.org/officeDocument/2006/relationships/hyperlink" Target="https://academics.hse.ru/" TargetMode="External"/><Relationship Id="rId54" Type="http://schemas.openxmlformats.org/officeDocument/2006/relationships/hyperlink" Target="https://www.hse.ru/science/hsegrants" TargetMode="External"/><Relationship Id="rId55" Type="http://schemas.openxmlformats.org/officeDocument/2006/relationships/hyperlink" Target="https://sezam.hse.ru/" TargetMode="External"/><Relationship Id="rId56" Type="http://schemas.openxmlformats.org/officeDocument/2006/relationships/hyperlink" Target="https://publications.hse.ru/" TargetMode="External"/><Relationship Id="rId57" Type="http://schemas.openxmlformats.org/officeDocument/2006/relationships/hyperlink" Target="https://library.hse.ru/" TargetMode="External"/><Relationship Id="rId58" Type="http://schemas.openxmlformats.org/officeDocument/2006/relationships/hyperlink" Target="https://id.hse.ru/" TargetMode="External"/><Relationship Id="rId59" Type="http://schemas.openxmlformats.org/officeDocument/2006/relationships/hyperlink" Target="https://bookshop.hse.ru/" TargetMode="External"/><Relationship Id="rId60" Type="http://schemas.openxmlformats.org/officeDocument/2006/relationships/image" Target="media/image8.png"/><Relationship Id="rId61" Type="http://schemas.openxmlformats.org/officeDocument/2006/relationships/hyperlink" Target="https://print.hse.ru/" TargetMode="External"/><Relationship Id="rId62" Type="http://schemas.openxmlformats.org/officeDocument/2006/relationships/hyperlink" Target="https://mc.hse.ru/" TargetMode="External"/><Relationship Id="rId63" Type="http://schemas.openxmlformats.org/officeDocument/2006/relationships/hyperlink" Target="https://www.hse.ru/science/journals" TargetMode="External"/><Relationship Id="rId64" Type="http://schemas.openxmlformats.org/officeDocument/2006/relationships/hyperlink" Target="http://www.minobrnauki.gov.ru/" TargetMode="External"/><Relationship Id="rId65" Type="http://schemas.openxmlformats.org/officeDocument/2006/relationships/hyperlink" Target="https://edu.gov.ru/" TargetMode="External"/><Relationship Id="rId66" Type="http://schemas.openxmlformats.org/officeDocument/2006/relationships/hyperlink" Target="http://www.edu.ru/" TargetMode="External"/><Relationship Id="rId67" Type="http://schemas.openxmlformats.org/officeDocument/2006/relationships/hyperlink" Target="https://elearning.hse.ru/mooc" TargetMode="External"/><Relationship Id="rId68" Type="http://schemas.openxmlformats.org/officeDocument/2006/relationships/hyperlink" Target="https://www.hse.ru/adm/edit/edit.html?goto=%2AL3N0dWR5c3ByYXZrYS9naWFfaW52YWxpZD9fcj0zNjIyNjExMTc3NTA4MTE2NC44MDk2Ng%3D%3D%5E&amp;id=905162631&amp;cid=20594&amp;addon_name=default&amp;newportal=1" TargetMode="External"/><Relationship Id="rId69" Type="http://schemas.openxmlformats.org/officeDocument/2006/relationships/hyperlink" Target="https://www.hse.ru/contacts.html" TargetMode="External"/><Relationship Id="rId70" Type="http://schemas.openxmlformats.org/officeDocument/2006/relationships/hyperlink" Target="https://www.hse.ru/copyright" TargetMode="External"/><Relationship Id="rId71" Type="http://schemas.openxmlformats.org/officeDocument/2006/relationships/hyperlink" Target="https://www.hse.ru/data_protection_regulation" TargetMode="External"/><Relationship Id="rId72" Type="http://schemas.openxmlformats.org/officeDocument/2006/relationships/hyperlink" Target="https://www.hse.ru/sitemap.html" TargetMode="External"/><Relationship Id="rId73" Type="http://schemas.openxmlformats.org/officeDocument/2006/relationships/hyperlink" Target="https://design.hse.ru/" TargetMode="External"/><Relationship Id="rId7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