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</wp:posOffset>
            </wp:positionH>
            <wp:positionV relativeFrom="page">
              <wp:posOffset>2918460</wp:posOffset>
            </wp:positionV>
            <wp:extent cx="2362200" cy="3012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012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990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99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894" w:val="left"/>
        </w:tabs>
        <w:autoSpaceDE w:val="0"/>
        <w:widowControl/>
        <w:spacing w:line="242" w:lineRule="auto" w:before="156" w:after="0"/>
        <w:ind w:left="296" w:right="0" w:firstLine="0"/>
        <w:jc w:val="left"/>
      </w:pPr>
      <w:r>
        <w:rPr>
          <w:rFonts w:ascii="Segoe UI" w:hAnsi="Segoe UI" w:eastAsia="Segoe UI"/>
          <w:b w:val="0"/>
          <w:i w:val="0"/>
          <w:color w:val="FFFFFF"/>
          <w:sz w:val="16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w w:val="101.53339930943079"/>
          <w:rFonts w:ascii="Segoe UI" w:hAnsi="Segoe UI" w:eastAsia="Segoe UI"/>
          <w:b w:val="0"/>
          <w:i w:val="0"/>
          <w:color w:val="FFFFFF"/>
          <w:sz w:val="14"/>
        </w:rPr>
        <w:t>Меню</w:t>
      </w:r>
    </w:p>
    <w:p>
      <w:pPr>
        <w:autoSpaceDN w:val="0"/>
        <w:autoSpaceDE w:val="0"/>
        <w:widowControl/>
        <w:spacing w:line="240" w:lineRule="auto" w:before="126" w:after="0"/>
        <w:ind w:left="134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FFFFFF"/>
          <w:sz w:val="3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14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0"/>
        </w:rPr>
        <w:t>Академический календарь (График учебного процесса)</w:t>
      </w:r>
    </w:p>
    <w:p>
      <w:pPr>
        <w:autoSpaceDN w:val="0"/>
        <w:autoSpaceDE w:val="0"/>
        <w:widowControl/>
        <w:spacing w:line="269" w:lineRule="auto" w:before="300" w:after="0"/>
        <w:ind w:left="0" w:right="28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Учебный год разбит на четыре модуля, каждый из которых длится от 8 до 12 недель. Точные даты начала и</w:t>
      </w:r>
      <w:r>
        <w:rPr>
          <w:rFonts w:ascii="Segoe UI" w:hAnsi="Segoe UI" w:eastAsia="Segoe UI"/>
          <w:b w:val="0"/>
          <w:i w:val="0"/>
          <w:color w:val="000000"/>
          <w:sz w:val="20"/>
        </w:rPr>
        <w:t>окон­чания каждого модуля, сессий и каникул зависят от выходных и нерабочих праздничных дней в текущем</w:t>
      </w:r>
      <w:r>
        <w:rPr>
          <w:rFonts w:ascii="Segoe UI" w:hAnsi="Segoe UI" w:eastAsia="Segoe UI"/>
          <w:b w:val="0"/>
          <w:i w:val="0"/>
          <w:color w:val="000000"/>
          <w:sz w:val="20"/>
        </w:rPr>
        <w:t>году. Некоторые программы имеют иной график, состоящий из трех модулей.</w:t>
      </w:r>
    </w:p>
    <w:p>
      <w:pPr>
        <w:autoSpaceDN w:val="0"/>
        <w:autoSpaceDE w:val="0"/>
        <w:widowControl/>
        <w:spacing w:line="240" w:lineRule="auto" w:before="322" w:after="0"/>
        <w:ind w:left="118" w:right="0" w:firstLine="0"/>
        <w:jc w:val="left"/>
      </w:pPr>
      <w:r>
        <w:rPr>
          <w:rFonts w:ascii="Segoe UI" w:hAnsi="Segoe UI" w:eastAsia="Segoe UI"/>
          <w:b w:val="0"/>
          <w:i w:val="0"/>
          <w:color w:val="FFFFFF"/>
          <w:sz w:val="18"/>
        </w:rPr>
        <w:hyperlink r:id="rId11" w:history="1">
          <w:r>
            <w:rPr>
              <w:rStyle w:val="Hyperlink"/>
            </w:rPr>
            <w:t>Расписание занятий, сессий, пересдач</w:t>
          </w:r>
        </w:hyperlink>
      </w:r>
    </w:p>
    <w:p>
      <w:pPr>
        <w:autoSpaceDN w:val="0"/>
        <w:autoSpaceDE w:val="0"/>
        <w:widowControl/>
        <w:spacing w:line="240" w:lineRule="auto" w:before="8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502920</wp:posOffset>
            </wp:positionH>
            <wp:positionV relativeFrom="page">
              <wp:posOffset>3693160</wp:posOffset>
            </wp:positionV>
            <wp:extent cx="6694170" cy="38214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3821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46" w:after="0"/>
        <w:ind w:left="0" w:right="52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7924800</wp:posOffset>
            </wp:positionV>
            <wp:extent cx="1905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71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0"/>
        </w:rPr>
        <w:t>Документы</w:t>
      </w:r>
    </w:p>
    <w:p>
      <w:pPr>
        <w:autoSpaceDN w:val="0"/>
        <w:autoSpaceDE w:val="0"/>
        <w:widowControl/>
        <w:spacing w:line="274" w:lineRule="auto" w:before="158" w:after="0"/>
        <w:ind w:left="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График учебного процесса – это документ, определяющий последовательность и чередование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0"/>
        </w:rPr>
        <w:t>обучения, аттестации и времени каникул студентов всех направлений и специальностей всех курсов НИУ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ВШЭ в течение учебного года. График учебного процесса создается и утверждается ежегодно отдельным</w:t>
      </w:r>
      <w:r>
        <w:rPr>
          <w:rFonts w:ascii="Segoe UI" w:hAnsi="Segoe UI" w:eastAsia="Segoe UI"/>
          <w:b w:val="0"/>
          <w:i w:val="0"/>
          <w:color w:val="000000"/>
          <w:sz w:val="20"/>
        </w:rPr>
        <w:t>приказом. На графике определены количество учебных модулей в году, количество дней в модулях</w:t>
      </w:r>
      <w:r>
        <w:rPr>
          <w:rFonts w:ascii="Segoe UI" w:hAnsi="Segoe UI" w:eastAsia="Segoe UI"/>
          <w:b w:val="0"/>
          <w:i w:val="0"/>
          <w:color w:val="000000"/>
          <w:sz w:val="20"/>
        </w:rPr>
        <w:t>и каникулярное время. График обязателен для выполнения всеми участниками образовательного процесса.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502920</wp:posOffset>
            </wp:positionH>
            <wp:positionV relativeFrom="page">
              <wp:posOffset>9869170</wp:posOffset>
            </wp:positionV>
            <wp:extent cx="149859" cy="1346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859" cy="13462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0"/>
        </w:rPr>
        <w:hyperlink r:id="rId15" w:history="1">
          <w:r>
            <w:rPr>
              <w:rStyle w:val="Hyperlink"/>
            </w:rPr>
            <w:t>Приказ "Об утверждении типового графика учебного процесса на 2025/2026 учебный год"</w:t>
          </w:r>
        </w:hyperlink>
      </w:r>
    </w:p>
    <w:p>
      <w:pPr>
        <w:sectPr>
          <w:pgSz w:w="11918" w:h="16858"/>
          <w:pgMar w:top="416" w:right="564" w:bottom="510" w:left="7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502920</wp:posOffset>
            </wp:positionH>
            <wp:positionV relativeFrom="page">
              <wp:posOffset>429259</wp:posOffset>
            </wp:positionV>
            <wp:extent cx="149859" cy="1346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859" cy="13462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0"/>
        </w:rPr>
        <w:hyperlink r:id="rId18" w:history="1">
          <w:r>
            <w:rPr>
              <w:rStyle w:val="Hyperlink"/>
            </w:rPr>
            <w:t>Приказ "Об утверждении типового графика учебного процесса на 2026/2027 учебный год"</w:t>
          </w:r>
        </w:hyperlink>
      </w:r>
    </w:p>
    <w:p>
      <w:pPr>
        <w:autoSpaceDN w:val="0"/>
        <w:autoSpaceDE w:val="0"/>
        <w:widowControl/>
        <w:spacing w:line="259" w:lineRule="auto" w:before="206" w:after="0"/>
        <w:ind w:left="236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Для образовательных программ с нетиповым графиком учебного процесса размещаются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0"/>
        </w:rPr>
        <w:hyperlink r:id="rId19" w:history="1">
          <w:r>
            <w:rPr>
              <w:rStyle w:val="Hyperlink"/>
            </w:rPr>
            <w:t>календарные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0"/>
        </w:rPr>
        <w:hyperlink r:id="rId19" w:history="1">
          <w:r>
            <w:rPr>
              <w:rStyle w:val="Hyperlink"/>
            </w:rPr>
            <w:t>учебные графики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auto" w:before="956" w:after="0"/>
        <w:ind w:left="22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1714500</wp:posOffset>
            </wp:positionV>
            <wp:extent cx="406400" cy="190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22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2019300</wp:posOffset>
            </wp:positionV>
            <wp:extent cx="1066800" cy="2540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5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2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502920</wp:posOffset>
            </wp:positionH>
            <wp:positionV relativeFrom="page">
              <wp:posOffset>2414270</wp:posOffset>
            </wp:positionV>
            <wp:extent cx="180339" cy="18034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339" cy="180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174" w:after="0"/>
        <w:ind w:left="236" w:right="0" w:firstLine="0"/>
        <w:jc w:val="left"/>
      </w:pPr>
      <w:r>
        <w:rPr>
          <w:w w:val="98.17010760307312"/>
          <w:rFonts w:ascii="Segoe UI" w:hAnsi="Segoe UI" w:eastAsia="Segoe UI"/>
          <w:b w:val="0"/>
          <w:i w:val="0"/>
          <w:color w:val="000000"/>
          <w:sz w:val="16"/>
        </w:rPr>
        <w:t xml:space="preserve">Нашли </w:t>
      </w:r>
      <w:r>
        <w:rPr>
          <w:w w:val="98.17010760307312"/>
          <w:rFonts w:ascii="Segoe UI" w:hAnsi="Segoe UI" w:eastAsia="Segoe UI"/>
          <w:b w:val="0"/>
          <w:i w:val="0"/>
          <w:color w:val="F35023"/>
          <w:sz w:val="16"/>
        </w:rPr>
        <w:t>опечатку</w:t>
      </w:r>
      <w:r>
        <w:rPr>
          <w:w w:val="98.17010760307312"/>
          <w:rFonts w:ascii="Segoe UI" w:hAnsi="Segoe UI" w:eastAsia="Segoe UI"/>
          <w:b w:val="0"/>
          <w:i w:val="0"/>
          <w:color w:val="000000"/>
          <w:sz w:val="16"/>
        </w:rPr>
        <w:t>?</w:t>
      </w:r>
    </w:p>
    <w:p>
      <w:pPr>
        <w:autoSpaceDN w:val="0"/>
        <w:autoSpaceDE w:val="0"/>
        <w:widowControl/>
        <w:spacing w:line="240" w:lineRule="auto" w:before="40" w:after="0"/>
        <w:ind w:left="236" w:right="0" w:firstLine="0"/>
        <w:jc w:val="left"/>
      </w:pPr>
      <w:r>
        <w:rPr>
          <w:w w:val="98.17010760307312"/>
          <w:rFonts w:ascii="Segoe UI" w:hAnsi="Segoe UI" w:eastAsia="Segoe UI"/>
          <w:b w:val="0"/>
          <w:i w:val="0"/>
          <w:color w:val="000000"/>
          <w:sz w:val="16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2" w:lineRule="auto" w:before="28" w:after="0"/>
        <w:ind w:left="236" w:right="0" w:firstLine="0"/>
        <w:jc w:val="left"/>
      </w:pPr>
      <w:r>
        <w:rPr>
          <w:w w:val="98.17010760307312"/>
          <w:rFonts w:ascii="Segoe UI" w:hAnsi="Segoe UI" w:eastAsia="Segoe UI"/>
          <w:b w:val="0"/>
          <w:i w:val="0"/>
          <w:color w:val="000000"/>
          <w:sz w:val="16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772" w:after="0"/>
        <w:ind w:left="236" w:right="41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18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158" w:after="0"/>
        <w:ind w:left="236" w:right="662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18"/>
        </w:rPr>
        <w:hyperlink r:id="rId3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3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4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4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4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4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4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4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4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4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4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4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5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38" w:lineRule="auto" w:before="158" w:after="0"/>
        <w:ind w:left="236" w:right="849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18"/>
        </w:rPr>
        <w:hyperlink r:id="rId5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5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5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5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55" w:history="1">
          <w:r>
            <w:rPr>
              <w:rStyle w:val="Hyperlink"/>
            </w:rPr>
            <w:t>Диссертационные советы</w:t>
          </w:r>
        </w:hyperlink>
      </w:r>
    </w:p>
    <w:p>
      <w:pPr>
        <w:sectPr>
          <w:pgSz w:w="11918" w:h="16858"/>
          <w:pgMar w:top="338" w:right="540" w:bottom="338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</wp:posOffset>
            </wp:positionH>
            <wp:positionV relativeFrom="page">
              <wp:posOffset>916940</wp:posOffset>
            </wp:positionV>
            <wp:extent cx="6859270" cy="361532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6153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4" w:after="0"/>
        <w:ind w:left="236" w:right="7344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5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5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5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5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158" w:after="0"/>
        <w:ind w:left="236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18"/>
        </w:rPr>
        <w:hyperlink r:id="rId6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6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6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6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6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6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6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6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156" w:after="0"/>
        <w:ind w:left="236" w:right="172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6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6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6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70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w w:val="98.7130324045817"/>
          <w:rFonts w:ascii="Segoe UI" w:hAnsi="Segoe UI" w:eastAsia="Segoe UI"/>
          <w:b w:val="0"/>
          <w:i w:val="0"/>
          <w:color w:val="AAAAAA"/>
          <w:sz w:val="12"/>
        </w:rPr>
        <w:hyperlink r:id="rId7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5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7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7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7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75" w:history="1">
          <w:r>
            <w:rPr>
              <w:rStyle w:val="Hyperlink"/>
            </w:rPr>
            <w:t>Карта сайта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15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5"/>
        </w:rPr>
        <w:hyperlink r:id="rId7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0" w:bottom="338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ras_stud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www.hse.ru/mirror/pubs/share/1142166904.pdf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s://www.hse.ru/mirror/pubs/share/1142167105.pdf" TargetMode="External"/><Relationship Id="rId19" Type="http://schemas.openxmlformats.org/officeDocument/2006/relationships/hyperlink" Target="https://www.hse.ru/sveden/education/91eee6fe-394c-4c51-8b6d-1785f544ffa2/" TargetMode="Externa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education/" TargetMode="External"/><Relationship Id="rId39" Type="http://schemas.openxmlformats.org/officeDocument/2006/relationships/hyperlink" Target="https://school.hse.ru/" TargetMode="External"/><Relationship Id="rId40" Type="http://schemas.openxmlformats.org/officeDocument/2006/relationships/hyperlink" Target="https://fdp.hse.ru/" TargetMode="External"/><Relationship Id="rId41" Type="http://schemas.openxmlformats.org/officeDocument/2006/relationships/hyperlink" Target="https://olymp.hse.ru/" TargetMode="External"/><Relationship Id="rId42" Type="http://schemas.openxmlformats.org/officeDocument/2006/relationships/hyperlink" Target="https://ba.hse.ru/" TargetMode="External"/><Relationship Id="rId43" Type="http://schemas.openxmlformats.org/officeDocument/2006/relationships/hyperlink" Target="https://www.hse.ru/plus" TargetMode="External"/><Relationship Id="rId44" Type="http://schemas.openxmlformats.org/officeDocument/2006/relationships/hyperlink" Target="https://ma.hse.ru/" TargetMode="External"/><Relationship Id="rId45" Type="http://schemas.openxmlformats.org/officeDocument/2006/relationships/hyperlink" Target="https://aspirantura.hse.ru/" TargetMode="External"/><Relationship Id="rId46" Type="http://schemas.openxmlformats.org/officeDocument/2006/relationships/hyperlink" Target="https://busedu.hse.ru/" TargetMode="External"/><Relationship Id="rId47" Type="http://schemas.openxmlformats.org/officeDocument/2006/relationships/hyperlink" Target="https://career.hse.ru/" TargetMode="External"/><Relationship Id="rId48" Type="http://schemas.openxmlformats.org/officeDocument/2006/relationships/hyperlink" Target="http://inc.hse.ru/" TargetMode="External"/><Relationship Id="rId49" Type="http://schemas.openxmlformats.org/officeDocument/2006/relationships/hyperlink" Target="https://dd.hse.ru/" TargetMode="External"/><Relationship Id="rId50" Type="http://schemas.openxmlformats.org/officeDocument/2006/relationships/hyperlink" Target="https://www.hse.ru/feedback" TargetMode="External"/><Relationship Id="rId51" Type="http://schemas.openxmlformats.org/officeDocument/2006/relationships/hyperlink" Target="https://www.hse.ru/science/" TargetMode="External"/><Relationship Id="rId52" Type="http://schemas.openxmlformats.org/officeDocument/2006/relationships/hyperlink" Target="https://www.hse.ru/science/centers" TargetMode="External"/><Relationship Id="rId53" Type="http://schemas.openxmlformats.org/officeDocument/2006/relationships/hyperlink" Target="https://www.hse.ru/org/projects/" TargetMode="External"/><Relationship Id="rId54" Type="http://schemas.openxmlformats.org/officeDocument/2006/relationships/hyperlink" Target="https://www.hse.ru/monitoring/" TargetMode="External"/><Relationship Id="rId55" Type="http://schemas.openxmlformats.org/officeDocument/2006/relationships/hyperlink" Target="https://www.hse.ru/science/disscoun/" TargetMode="External"/><Relationship Id="rId56" Type="http://schemas.openxmlformats.org/officeDocument/2006/relationships/hyperlink" Target="https://aspirantura.hse.ru/defence/announcements/" TargetMode="External"/><Relationship Id="rId57" Type="http://schemas.openxmlformats.org/officeDocument/2006/relationships/hyperlink" Target="https://academics.hse.ru/" TargetMode="External"/><Relationship Id="rId58" Type="http://schemas.openxmlformats.org/officeDocument/2006/relationships/hyperlink" Target="https://www.hse.ru/science/hsegrants" TargetMode="External"/><Relationship Id="rId59" Type="http://schemas.openxmlformats.org/officeDocument/2006/relationships/hyperlink" Target="https://sezam.hse.ru/" TargetMode="External"/><Relationship Id="rId60" Type="http://schemas.openxmlformats.org/officeDocument/2006/relationships/hyperlink" Target="https://publications.hse.ru/" TargetMode="External"/><Relationship Id="rId61" Type="http://schemas.openxmlformats.org/officeDocument/2006/relationships/hyperlink" Target="https://library.hse.ru/" TargetMode="External"/><Relationship Id="rId62" Type="http://schemas.openxmlformats.org/officeDocument/2006/relationships/hyperlink" Target="https://id.hse.ru/" TargetMode="External"/><Relationship Id="rId63" Type="http://schemas.openxmlformats.org/officeDocument/2006/relationships/hyperlink" Target="https://bookshop.hse.ru/" TargetMode="External"/><Relationship Id="rId64" Type="http://schemas.openxmlformats.org/officeDocument/2006/relationships/hyperlink" Target="https://print.hse.ru/" TargetMode="External"/><Relationship Id="rId65" Type="http://schemas.openxmlformats.org/officeDocument/2006/relationships/hyperlink" Target="https://mc.hse.ru/" TargetMode="External"/><Relationship Id="rId66" Type="http://schemas.openxmlformats.org/officeDocument/2006/relationships/hyperlink" Target="https://www.hse.ru/science/journals" TargetMode="External"/><Relationship Id="rId67" Type="http://schemas.openxmlformats.org/officeDocument/2006/relationships/hyperlink" Target="http://www.minobrnauki.gov.ru/" TargetMode="External"/><Relationship Id="rId68" Type="http://schemas.openxmlformats.org/officeDocument/2006/relationships/hyperlink" Target="https://edu.gov.ru/" TargetMode="External"/><Relationship Id="rId69" Type="http://schemas.openxmlformats.org/officeDocument/2006/relationships/hyperlink" Target="http://www.edu.ru/" TargetMode="External"/><Relationship Id="rId70" Type="http://schemas.openxmlformats.org/officeDocument/2006/relationships/hyperlink" Target="https://elearning.hse.ru/mooc" TargetMode="External"/><Relationship Id="rId71" Type="http://schemas.openxmlformats.org/officeDocument/2006/relationships/hyperlink" Target="https://www.hse.ru/adm/edit/edit.html?goto=%2AL3N0dWR5c3ByYXZrYS9ncmFmaWs%2FX3I9MzYyMTcxNDE3NzUwODE1NjIuNTcyOTg%3D%5E&amp;id=33655021&amp;cid=20594&amp;addon_name=default&amp;newportal=1" TargetMode="External"/><Relationship Id="rId72" Type="http://schemas.openxmlformats.org/officeDocument/2006/relationships/hyperlink" Target="https://www.hse.ru/contacts.html" TargetMode="External"/><Relationship Id="rId73" Type="http://schemas.openxmlformats.org/officeDocument/2006/relationships/hyperlink" Target="https://www.hse.ru/copyright" TargetMode="External"/><Relationship Id="rId74" Type="http://schemas.openxmlformats.org/officeDocument/2006/relationships/hyperlink" Target="https://www.hse.ru/data_protection_regulation" TargetMode="External"/><Relationship Id="rId75" Type="http://schemas.openxmlformats.org/officeDocument/2006/relationships/hyperlink" Target="https://www.hse.ru/sitemap.html" TargetMode="External"/><Relationship Id="rId76" Type="http://schemas.openxmlformats.org/officeDocument/2006/relationships/hyperlink" Target="https://design.hse.ru/" TargetMode="External"/><Relationship Id="rId7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