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Учебная нагрузка: 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1" w:lineRule="auto" w:before="52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Совокупная нагрузка работника профессорско-преподавательского состава (далее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ППС) в НИУ ВШЭ складывается из учебной нагрузки, нагрузки, связанной с научно-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исследовательской деятельностью, и нагрузки, связанной с исполнением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административных обязанностей (в случае их возложения). Указанные компоненты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могут учитываться при формировании объема учебной нагрузки ППС.</w:t>
      </w:r>
    </w:p>
    <w:p>
      <w:pPr>
        <w:autoSpaceDN w:val="0"/>
        <w:autoSpaceDE w:val="0"/>
        <w:widowControl/>
        <w:spacing w:line="259" w:lineRule="auto" w:before="260" w:after="0"/>
        <w:ind w:left="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Учебная нагрузка определяется структурой и объемом учебной работы,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выполняемой научно-педагогическими работниками НИУ ВШЭ. 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Учебная работа определяется:</w:t>
      </w:r>
    </w:p>
    <w:p>
      <w:pPr>
        <w:autoSpaceDN w:val="0"/>
        <w:autoSpaceDE w:val="0"/>
        <w:widowControl/>
        <w:spacing w:line="264" w:lineRule="auto" w:before="262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исходя из 36-часовой шестидневной рабочей недели  – для работника ППС,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работающего по основному месту работы на полную ставку (на условиях полного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рабочего времени);</w:t>
      </w:r>
    </w:p>
    <w:p>
      <w:pPr>
        <w:autoSpaceDN w:val="0"/>
        <w:autoSpaceDE w:val="0"/>
        <w:widowControl/>
        <w:spacing w:line="269" w:lineRule="auto" w:before="24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пропорционально доле ставки/продолжительности рабочего времени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отношению к образовательной работе научно-педагогического работника,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работающего по основному месту работы на полную ставку для работника ППС,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работающего на условиях совместительства или неполного рабочего времени.</w:t>
      </w:r>
    </w:p>
    <w:p>
      <w:pPr>
        <w:autoSpaceDN w:val="0"/>
        <w:autoSpaceDE w:val="0"/>
        <w:widowControl/>
        <w:spacing w:line="240" w:lineRule="auto" w:before="862" w:after="0"/>
        <w:ind w:left="0" w:right="0" w:firstLine="0"/>
        <w:jc w:val="left"/>
      </w:pP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РУЗ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(ruz.hse.ru)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сервис для просмотра расписания преподавателей НИУ ВШЭ.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Основные функции: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Поиск по дисциплине, ID, ФИО студента или преподавателя.</w:t>
      </w:r>
    </w:p>
    <w:p>
      <w:pPr>
        <w:autoSpaceDN w:val="0"/>
        <w:autoSpaceDE w:val="0"/>
        <w:widowControl/>
        <w:spacing w:line="264" w:lineRule="auto" w:before="246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Вкладка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"Загруженность аудиторий"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помогает найти свободную аудиторию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реальном времени.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Доступ: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Работает в браузере, но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только в локальной сети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(через Wi-Fi в зданиях).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доступа из других сетей нужен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VPN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(подключается через ЕЛК).</w:t>
      </w:r>
    </w:p>
    <w:p>
      <w:pPr>
        <w:autoSpaceDN w:val="0"/>
        <w:autoSpaceDE w:val="0"/>
        <w:widowControl/>
        <w:spacing w:line="264" w:lineRule="auto" w:before="246" w:after="0"/>
        <w:ind w:left="30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преподаватель ещё не оформлен в ВШЭ (нет корпоративной почты), он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может смотреть расписание через локальную сеть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"HSE.guest" Wi-Fi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Важно: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Аудитории часто меняются –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следите за актуальным расписанием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9" w:lineRule="auto" w:before="246" w:after="0"/>
        <w:ind w:left="30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Удобная навигация: можно выгрузить расписание на длительный период,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предметные единицы (ПЕ) отображаются четче, чем на портале.</w:t>
      </w:r>
    </w:p>
    <w:p>
      <w:pPr>
        <w:autoSpaceDN w:val="0"/>
        <w:autoSpaceDE w:val="0"/>
        <w:widowControl/>
        <w:spacing w:line="240" w:lineRule="auto" w:before="688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Этапы формирования учебной нагрузки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Планирование нагрузки</w:t>
            </w:r>
          </w:p>
        </w:tc>
      </w:tr>
    </w:tbl>
    <w:p>
      <w:pPr>
        <w:autoSpaceDN w:val="0"/>
        <w:autoSpaceDE w:val="0"/>
        <w:widowControl/>
        <w:spacing w:line="274" w:lineRule="auto" w:before="154" w:after="0"/>
        <w:ind w:left="828" w:right="1296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Планирование  нагрузки работников профессорско-преподавательского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состава осуществляется руководителем структурного подразделения,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работники которого принимают участие в реализации образовательных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 высшего образования, в соответствии с Трудовым кодексом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Российской Федерации, иными нормативными правовыми актами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Российской Федерации, локальными нормативными актами НИУ ВШЭ.</w:t>
      </w:r>
    </w:p>
    <w:p>
      <w:pPr>
        <w:autoSpaceDN w:val="0"/>
        <w:autoSpaceDE w:val="0"/>
        <w:widowControl/>
        <w:spacing w:line="26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Планирование нагрузки подразделением осуществляется на основании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утвержденных рабочих учебных планов, контингента студентов, аспирантов,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учащихся Лицея, количества потоков, групп, а также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утвержденных норм учебной нагрузки .</w:t>
      </w:r>
    </w:p>
    <w:p>
      <w:pPr>
        <w:autoSpaceDN w:val="0"/>
        <w:autoSpaceDE w:val="0"/>
        <w:widowControl/>
        <w:spacing w:line="271" w:lineRule="auto" w:before="262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основании общего количества часов запланированной нагрузки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подразделению выделяется определенное количество ставок ППС,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руководитель формирует штатный, внештатный состав ППС, 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приглашает преподавателей по гражданско-правовым договорам 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текущий учебный год для реализации учебных дисциплин.</w:t>
      </w:r>
    </w:p>
    <w:p>
      <w:pPr>
        <w:autoSpaceDN w:val="0"/>
        <w:autoSpaceDE w:val="0"/>
        <w:widowControl/>
        <w:spacing w:line="266" w:lineRule="auto" w:before="260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 течение учебного года возникла необходимость откорректировать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перераспределить учебную нагрузку преподавателей (изменилась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фактическая численность групп, потоков, состоялся выбор вариативных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9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 студентами, определились руководители проектных, курсовых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работ, ВКР и пр.), то соответствующие изменения вносятся Департаментом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УИС в модуль «Планирование нагрузки».</w:t>
            </w:r>
          </w:p>
        </w:tc>
      </w:tr>
    </w:tbl>
    <w:p>
      <w:pPr>
        <w:autoSpaceDN w:val="0"/>
        <w:autoSpaceDE w:val="0"/>
        <w:widowControl/>
        <w:spacing w:line="10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Формирование индивидуального плана учебной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работы преподавателя</w:t>
            </w:r>
          </w:p>
        </w:tc>
      </w:tr>
    </w:tbl>
    <w:p>
      <w:pPr>
        <w:autoSpaceDN w:val="0"/>
        <w:autoSpaceDE w:val="0"/>
        <w:widowControl/>
        <w:spacing w:line="266" w:lineRule="auto" w:before="140" w:after="0"/>
        <w:ind w:left="828" w:right="144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кафедры/департамента совместно с заведующим кафедрой/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руководителем департамента или его заместителем планирует учебную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нагрузку подразделения.</w:t>
      </w:r>
    </w:p>
    <w:p>
      <w:pPr>
        <w:autoSpaceDN w:val="0"/>
        <w:autoSpaceDE w:val="0"/>
        <w:widowControl/>
        <w:spacing w:line="266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формирует в УИС индивидуальную нагрузку каждого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преподавателя, используя нормы времени по видам контактной работы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основании:</w:t>
      </w:r>
    </w:p>
    <w:p>
      <w:pPr>
        <w:autoSpaceDN w:val="0"/>
        <w:autoSpaceDE w:val="0"/>
        <w:widowControl/>
        <w:spacing w:line="27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ежегодно издаваемого приказа об утверждении локальных нормативных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актов, регулирующих планирование и учет объема учебной нагрузки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научно-педагогических работников и объема преподавательских услуг,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оказываемых исполнителями в рамках договоров гражданско-правового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характера по реализации образовательных программ высшего 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Национальном исследовательском университете «Высшая школа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экономики»;</w:t>
      </w:r>
    </w:p>
    <w:p>
      <w:pPr>
        <w:autoSpaceDN w:val="0"/>
        <w:autoSpaceDE w:val="0"/>
        <w:widowControl/>
        <w:spacing w:line="240" w:lineRule="auto" w:before="2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утвержденных рабочих учебных планов (РУП).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часов планируемой нагрузки должно соответствовать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занимаемой должности претендента. В отдельных случаях учебная нагрузка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конкретного преподавателя может быть установлена ниже указанного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норматива.</w:t>
      </w:r>
    </w:p>
    <w:p>
      <w:pPr>
        <w:autoSpaceDN w:val="0"/>
        <w:autoSpaceDE w:val="0"/>
        <w:widowControl/>
        <w:spacing w:line="259" w:lineRule="auto" w:before="26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Учебная нагрузка штатного преподавателя университета может составлять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более 900 часов в учебный год (в пределах одной ставки).</w:t>
      </w:r>
    </w:p>
    <w:p>
      <w:pPr>
        <w:autoSpaceDN w:val="0"/>
        <w:autoSpaceDE w:val="0"/>
        <w:widowControl/>
        <w:spacing w:line="259" w:lineRule="auto" w:before="260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Индивидуальные планы преподавателей создаются, актуализируются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хранятся в УИС.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Пределы учебной нагрузки в часах для каждой из должностей работников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4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ППС приведены в таблице раздела "Объем учебной нагрузки".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Консультации по индивидуальному плану можно получить у главного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эксперта ДООП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Чекмаревой Татьяны Алексеевны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(тел. +7 (495) 772-95-90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внутр. 27850 с 10.00 до 17.00 в будние дни).</w:t>
            </w:r>
          </w:p>
        </w:tc>
      </w:tr>
    </w:tbl>
    <w:p>
      <w:pPr>
        <w:autoSpaceDN w:val="0"/>
        <w:autoSpaceDE w:val="0"/>
        <w:widowControl/>
        <w:spacing w:line="10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Объем учебной нагрузки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8" w:right="0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каждой из должностей работников ППС устанавливаются: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часов, необходимое для выполнения учебной работы по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указанной должности на полную ставку (далее – средний объем);</w:t>
      </w:r>
    </w:p>
    <w:p>
      <w:pPr>
        <w:autoSpaceDN w:val="0"/>
        <w:autoSpaceDE w:val="0"/>
        <w:widowControl/>
        <w:spacing w:line="240" w:lineRule="auto" w:before="246" w:after="16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верхний предел учебной нагрузки в часах согласно таблице: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30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6.0000000000001" w:type="dxa"/>
            </w:tblPr>
            <w:tblGrid>
              <w:gridCol w:w="1801"/>
              <w:gridCol w:w="1801"/>
              <w:gridCol w:w="1801"/>
              <w:gridCol w:w="1801"/>
              <w:gridCol w:w="1801"/>
              <w:gridCol w:w="1801"/>
            </w:tblGrid>
            <w:tr>
              <w:trPr>
                <w:trHeight w:hRule="exact" w:val="1860"/>
              </w:trPr>
              <w:tc>
                <w:tcPr>
                  <w:tcW w:type="dxa" w:w="2188"/>
                  <w:vMerge w:val="restart"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54" w:after="0"/>
                    <w:ind w:left="288" w:right="432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Должность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ППС</w:t>
                  </w:r>
                </w:p>
              </w:tc>
              <w:tc>
                <w:tcPr>
                  <w:tcW w:type="dxa" w:w="2042"/>
                  <w:vMerge w:val="restart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354" w:after="0"/>
                    <w:ind w:left="288" w:right="432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Категория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объема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учебной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нагрузки</w:t>
                  </w:r>
                </w:p>
              </w:tc>
              <w:tc>
                <w:tcPr>
                  <w:tcW w:type="dxa" w:w="2744"/>
                  <w:gridSpan w:val="2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54" w:after="0"/>
                    <w:ind w:left="144" w:right="288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Все департаменты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кроме кафедры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физвоспитания</w:t>
                  </w:r>
                </w:p>
              </w:tc>
              <w:tc>
                <w:tcPr>
                  <w:tcW w:type="dxa" w:w="2754"/>
                  <w:gridSpan w:val="2"/>
                  <w:tcBorders>
                    <w:start w:sz="5.599999999999909" w:val="single" w:color="#000000"/>
                    <w:top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54" w:after="0"/>
                    <w:ind w:left="288" w:right="432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Кафедра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физвоспитания</w:t>
                  </w:r>
                </w:p>
              </w:tc>
            </w:tr>
            <w:tr>
              <w:trPr>
                <w:trHeight w:hRule="exact" w:val="1470"/>
              </w:trPr>
              <w:tc>
                <w:tcPr>
                  <w:tcW w:type="dxa" w:w="1801"/>
                  <w:vMerge/>
                  <w:tcBorders>
                    <w:start w:sz="6.399999999999977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</w:tcPr>
                <w:p/>
              </w:tc>
              <w:tc>
                <w:tcPr>
                  <w:tcW w:type="dxa" w:w="1801"/>
                  <w:vMerge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</w:tcPr>
                <w:p/>
              </w:tc>
              <w:tc>
                <w:tcPr>
                  <w:tcW w:type="dxa" w:w="1380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54" w:after="0"/>
                    <w:ind w:left="0" w:right="144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Средний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объем</w:t>
                  </w:r>
                </w:p>
              </w:tc>
              <w:tc>
                <w:tcPr>
                  <w:tcW w:type="dxa" w:w="1364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54" w:after="0"/>
                    <w:ind w:left="0" w:right="144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Верхний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предел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54" w:after="0"/>
                    <w:ind w:left="0" w:right="144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Средний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объем</w:t>
                  </w:r>
                </w:p>
              </w:tc>
              <w:tc>
                <w:tcPr>
                  <w:tcW w:type="dxa" w:w="1374"/>
                  <w:tcBorders>
                    <w:start w:sz="5.599999999999909" w:val="single" w:color="#000000"/>
                    <w:top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54" w:after="0"/>
                    <w:ind w:left="0" w:right="432" w:firstLine="0"/>
                    <w:jc w:val="center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Верхн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пред</w:t>
                  </w:r>
                </w:p>
              </w:tc>
            </w:tr>
            <w:tr>
              <w:trPr>
                <w:trHeight w:hRule="exact" w:val="1080"/>
              </w:trPr>
              <w:tc>
                <w:tcPr>
                  <w:tcW w:type="dxa" w:w="2188"/>
                  <w:tcBorders>
                    <w:start w:sz="6.399999999999977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Декан</w:t>
                  </w:r>
                </w:p>
              </w:tc>
              <w:tc>
                <w:tcPr>
                  <w:tcW w:type="dxa" w:w="2042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124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/>
                      <w:color w:val="000000"/>
                      <w:sz w:val="26"/>
                    </w:rPr>
                    <w:t>Пониженная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300</w:t>
                  </w:r>
                </w:p>
              </w:tc>
              <w:tc>
                <w:tcPr>
                  <w:tcW w:type="dxa" w:w="136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450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74"/>
                  <w:tcBorders>
                    <w:start w:sz="5.599999999999909" w:val="single" w:color="#000000"/>
                    <w:top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66"/>
              </w:trPr>
              <w:tc>
                <w:tcPr>
                  <w:tcW w:type="dxa" w:w="2188"/>
                  <w:vMerge w:val="restart"/>
                  <w:tcBorders>
                    <w:start w:sz="6.399999999999977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126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Профессор</w:t>
                  </w:r>
                </w:p>
              </w:tc>
              <w:tc>
                <w:tcPr>
                  <w:tcW w:type="dxa" w:w="2042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/>
                      <w:color w:val="000000"/>
                      <w:sz w:val="26"/>
                    </w:rPr>
                    <w:t>Стандартная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600</w:t>
                  </w:r>
                </w:p>
              </w:tc>
              <w:tc>
                <w:tcPr>
                  <w:tcW w:type="dxa" w:w="1364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750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550</w:t>
                  </w:r>
                </w:p>
              </w:tc>
              <w:tc>
                <w:tcPr>
                  <w:tcW w:type="dxa" w:w="1374"/>
                  <w:tcBorders>
                    <w:start w:sz="5.599999999999909" w:val="single" w:color="#000000"/>
                    <w:top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516" w:firstLine="0"/>
                    <w:jc w:val="righ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687</w:t>
                  </w:r>
                </w:p>
              </w:tc>
            </w:tr>
            <w:tr>
              <w:trPr>
                <w:trHeight w:hRule="exact" w:val="1080"/>
              </w:trPr>
              <w:tc>
                <w:tcPr>
                  <w:tcW w:type="dxa" w:w="1801"/>
                  <w:vMerge/>
                  <w:tcBorders>
                    <w:start w:sz="6.399999999999977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</w:tcPr>
                <w:p/>
              </w:tc>
              <w:tc>
                <w:tcPr>
                  <w:tcW w:type="dxa" w:w="2042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/>
                      <w:color w:val="000000"/>
                      <w:sz w:val="26"/>
                    </w:rPr>
                    <w:t>Повышенная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750</w:t>
                  </w:r>
                </w:p>
              </w:tc>
              <w:tc>
                <w:tcPr>
                  <w:tcW w:type="dxa" w:w="1364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900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688</w:t>
                  </w:r>
                </w:p>
              </w:tc>
              <w:tc>
                <w:tcPr>
                  <w:tcW w:type="dxa" w:w="1374"/>
                  <w:tcBorders>
                    <w:start w:sz="5.599999999999909" w:val="single" w:color="#000000"/>
                    <w:top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516" w:firstLine="0"/>
                    <w:jc w:val="righ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860</w:t>
                  </w:r>
                </w:p>
              </w:tc>
            </w:tr>
            <w:tr>
              <w:trPr>
                <w:trHeight w:hRule="exact" w:val="1044"/>
              </w:trPr>
              <w:tc>
                <w:tcPr>
                  <w:tcW w:type="dxa" w:w="1801"/>
                  <w:vMerge/>
                  <w:tcBorders>
                    <w:start w:sz="6.399999999999977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</w:tcPr>
                <w:p/>
              </w:tc>
              <w:tc>
                <w:tcPr>
                  <w:tcW w:type="dxa" w:w="2042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/>
                      <w:color w:val="000000"/>
                      <w:sz w:val="26"/>
                    </w:rPr>
                    <w:t>Пониженная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450</w:t>
                  </w:r>
                </w:p>
              </w:tc>
              <w:tc>
                <w:tcPr>
                  <w:tcW w:type="dxa" w:w="1364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563</w:t>
                  </w:r>
                </w:p>
              </w:tc>
              <w:tc>
                <w:tcPr>
                  <w:tcW w:type="dxa" w:w="1380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412</w:t>
                  </w:r>
                </w:p>
              </w:tc>
              <w:tc>
                <w:tcPr>
                  <w:tcW w:type="dxa" w:w="1374"/>
                  <w:tcBorders>
                    <w:start w:sz="5.599999999999909" w:val="single" w:color="#000000"/>
                    <w:top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4" w:after="0"/>
                    <w:ind w:left="0" w:right="516" w:firstLine="0"/>
                    <w:jc w:val="righ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515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133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0764"/>
              </w:trPr>
              <w:tc>
                <w:tcPr>
                  <w:tcW w:type="dxa" w:w="10364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2.0000000000002" w:type="dxa"/>
                  </w:tblPr>
                  <w:tblGrid>
                    <w:gridCol w:w="1727"/>
                    <w:gridCol w:w="1727"/>
                    <w:gridCol w:w="1727"/>
                    <w:gridCol w:w="1727"/>
                    <w:gridCol w:w="1727"/>
                    <w:gridCol w:w="1727"/>
                  </w:tblGrid>
                  <w:tr>
                    <w:trPr>
                      <w:trHeight w:hRule="exact" w:val="1066"/>
                    </w:trPr>
                    <w:tc>
                      <w:tcPr>
                        <w:tcW w:type="dxa" w:w="2188"/>
                        <w:vMerge w:val="restart"/>
                        <w:tcBorders>
                          <w:start w:sz="6.399999999999977" w:val="single" w:color="#000000"/>
                          <w:top w:sz="5.600000000000023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126" w:right="0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Доцент</w:t>
                        </w:r>
                      </w:p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5.600000000000023" w:val="single" w:color="#000000"/>
                          <w:end w:sz="5.599999999999909" w:val="single" w:color="#000000"/>
                          <w:bottom w:sz="6.39999999999997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Стандартная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600000000000023" w:val="single" w:color="#000000"/>
                          <w:end w:sz="5.599999999999909" w:val="single" w:color="#000000"/>
                          <w:bottom w:sz="6.39999999999997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700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5.600000000000023" w:val="single" w:color="#000000"/>
                          <w:end w:sz="5.599999999999909" w:val="single" w:color="#000000"/>
                          <w:bottom w:sz="6.39999999999997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875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600000000000023" w:val="single" w:color="#000000"/>
                          <w:end w:sz="5.599999999999909" w:val="single" w:color="#000000"/>
                          <w:bottom w:sz="6.39999999999997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650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5.600000000000023" w:val="single" w:color="#000000"/>
                          <w:bottom w:sz="6.39999999999997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813</w:t>
                        </w:r>
                      </w:p>
                    </w:tc>
                  </w:tr>
                  <w:tr>
                    <w:trPr>
                      <w:trHeight w:hRule="exact" w:val="1080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5.600000000000023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6.399999999999977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Повышенная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399999999999977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875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6.399999999999977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399999999999977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813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6.399999999999977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</w:tr>
                  <w:tr>
                    <w:trPr>
                      <w:trHeight w:hRule="exact" w:val="1064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5.600000000000023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Пониженная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525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657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487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6.400000000000091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610</w:t>
                        </w:r>
                      </w:p>
                    </w:tc>
                  </w:tr>
                  <w:tr>
                    <w:trPr>
                      <w:trHeight w:hRule="exact" w:val="1080"/>
                    </w:trPr>
                    <w:tc>
                      <w:tcPr>
                        <w:tcW w:type="dxa" w:w="2188"/>
                        <w:vMerge w:val="restart"/>
                        <w:tcBorders>
                          <w:start w:sz="6.399999999999977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354" w:after="0"/>
                          <w:ind w:left="126" w:right="144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Старший</w:t>
                        </w:r>
                        <w:r>
                          <w:br/>
                        </w: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преподаватель</w:t>
                        </w:r>
                      </w:p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Стандартная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750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700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6.400000000000091" w:val="single" w:color="#000000"/>
                          <w:bottom w:sz="6.4000000000000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875</w:t>
                        </w:r>
                      </w:p>
                    </w:tc>
                  </w:tr>
                  <w:tr>
                    <w:trPr>
                      <w:trHeight w:hRule="exact" w:val="1066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Повышенная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875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6.400000000000091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</w:tr>
                  <w:tr>
                    <w:trPr>
                      <w:trHeight w:hRule="exact" w:val="1080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Пониженная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562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703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525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657</w:t>
                        </w:r>
                      </w:p>
                    </w:tc>
                  </w:tr>
                  <w:tr>
                    <w:trPr>
                      <w:trHeight w:hRule="exact" w:val="1064"/>
                    </w:trPr>
                    <w:tc>
                      <w:tcPr>
                        <w:tcW w:type="dxa" w:w="2188"/>
                        <w:vMerge w:val="restart"/>
                        <w:tcBorders>
                          <w:start w:sz="6.399999999999977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56" w:after="0"/>
                          <w:ind w:left="126" w:right="144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Преподаватель,</w:t>
                        </w: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ассистент</w:t>
                        </w:r>
                      </w:p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Стандартная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750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725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</w:tr>
                  <w:tr>
                    <w:trPr>
                      <w:trHeight w:hRule="exact" w:val="1080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Повышенная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900</w:t>
                        </w:r>
                      </w:p>
                    </w:tc>
                  </w:tr>
                  <w:tr>
                    <w:trPr>
                      <w:trHeight w:hRule="exact" w:val="1046"/>
                    </w:trPr>
                    <w:tc>
                      <w:tcPr>
                        <w:tcW w:type="dxa" w:w="1727"/>
                        <w:vMerge/>
                        <w:tcBorders>
                          <w:start w:sz="6.399999999999977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</w:tcPr>
                      <w:p/>
                    </w:tc>
                    <w:tc>
                      <w:tcPr>
                        <w:tcW w:type="dxa" w:w="204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/>
                            <w:color w:val="000000"/>
                            <w:sz w:val="26"/>
                          </w:rPr>
                          <w:t>Пониженная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562</w:t>
                        </w:r>
                      </w:p>
                    </w:tc>
                    <w:tc>
                      <w:tcPr>
                        <w:tcW w:type="dxa" w:w="136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703</w:t>
                        </w:r>
                      </w:p>
                    </w:tc>
                    <w:tc>
                      <w:tcPr>
                        <w:tcW w:type="dxa" w:w="138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543</w:t>
                        </w:r>
                      </w:p>
                    </w:tc>
                    <w:tc>
                      <w:tcPr>
                        <w:tcW w:type="dxa" w:w="1374"/>
                        <w:tcBorders>
                          <w:start w:sz="5.599999999999909" w:val="single" w:color="#000000"/>
                          <w:top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4" w:after="0"/>
                          <w:ind w:left="0" w:right="516" w:firstLine="0"/>
                          <w:jc w:val="righ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679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91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354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Отчетность о выполнении учебной нагрузки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5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осуществляется центром сервиса "Департамент" до 15.07.2023.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8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УИС. Мониторинг фактического выполнения нагрузки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Отчеты о выполнении преподавателями учебной нагрузки за прошедший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76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год создаются подразделениями (департаментами, кафедрами) 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Научные работники, не являющиеся одновременно работниками ППС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НИУ ВШЭ, могут выполнять и предъявлять к отчету дополнительные виды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3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учебной работы.</w:t>
            </w:r>
          </w:p>
        </w:tc>
      </w:tr>
    </w:tbl>
    <w:p>
      <w:pPr>
        <w:autoSpaceDN w:val="0"/>
        <w:autoSpaceDE w:val="0"/>
        <w:widowControl/>
        <w:spacing w:line="245" w:lineRule="auto" w:before="662" w:after="172"/>
        <w:ind w:left="30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Учебная нагрузка для других категорий научно-педагогических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работников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1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828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Планирование и подтверждение факта оказания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преподавательских услуг, поручаемых в рамках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договоров гражданско-правового характера</w:t>
            </w:r>
          </w:p>
        </w:tc>
      </w:tr>
    </w:tbl>
    <w:p>
      <w:pPr>
        <w:autoSpaceDN w:val="0"/>
        <w:autoSpaceDE w:val="0"/>
        <w:widowControl/>
        <w:spacing w:line="266" w:lineRule="auto" w:before="140" w:after="0"/>
        <w:ind w:left="828" w:right="864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Задание исполнителю по гражданско-правовому договору (далее - ГПД)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являются неотъемлемой частью ГПД. Перечень и объем услуг указываются в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Приложении к ГПД, формируемом с использованием УИС.</w:t>
      </w:r>
    </w:p>
    <w:p>
      <w:pPr>
        <w:autoSpaceDN w:val="0"/>
        <w:autoSpaceDE w:val="0"/>
        <w:widowControl/>
        <w:spacing w:line="27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При заключении ГПД на оказание преподавательских услуг по реализации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с бюджетными местами, инициатор ГПД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руководствуется едиными расценками, утвержденными в установленном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порядке, если финансирование предусматривается из средств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централизованного бюджета в рамках установленной предельной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численности ставок ППС в департаменте.</w:t>
      </w:r>
    </w:p>
    <w:p>
      <w:pPr>
        <w:autoSpaceDN w:val="0"/>
        <w:autoSpaceDE w:val="0"/>
        <w:widowControl/>
        <w:spacing w:line="26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Расценки для финансирования из средств структурной единицы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 или образовательной программы определяет коллегиальный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 департамента, в структуру которого входит структурная единица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который реализует образовательную программу.</w:t>
      </w:r>
    </w:p>
    <w:p>
      <w:pPr>
        <w:autoSpaceDN w:val="0"/>
        <w:autoSpaceDE w:val="0"/>
        <w:widowControl/>
        <w:spacing w:line="271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В случае выполнения преподавательских услуг исполнителями по ГПД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числа работников НИУ ВШЭ, занимающих должность «Тьютор», объем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услуг определяется в соответствии с нормативами, соответствующими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должности «Старший преподаватель» с категорией объема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нагрузки «Повышенная».</w:t>
      </w:r>
    </w:p>
    <w:p>
      <w:pPr>
        <w:autoSpaceDN w:val="0"/>
        <w:autoSpaceDE w:val="0"/>
        <w:widowControl/>
        <w:spacing w:line="26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Акты-отчеты, свидетельствующие об оказании образовательных услуг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проведению аудиторных занятий в соответствии с ГПД, составляются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использованием УИС в соответствии с данными о фактическом расписании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занятий за отчетный период, зафиксированными в электронной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системе расписания НИУ ВШЭ. Данные о руководстве практиками,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проектами, курсовыми работами или ВКР, указанные в Акте-отчете, должны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соответствовать данным в УИС о закреплении руководства этими услугами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лицом, в отношении которого составляется Акт-отчет.</w:t>
            </w:r>
          </w:p>
        </w:tc>
      </w:tr>
    </w:tbl>
    <w:p>
      <w:pPr>
        <w:autoSpaceDN w:val="0"/>
        <w:autoSpaceDE w:val="0"/>
        <w:widowControl/>
        <w:spacing w:line="8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8" w:after="0"/>
              <w:ind w:left="828" w:right="158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Подтверждение выполнения учебной работы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научными работниками</w:t>
            </w:r>
          </w:p>
        </w:tc>
      </w:tr>
    </w:tbl>
    <w:p>
      <w:pPr>
        <w:autoSpaceDN w:val="0"/>
        <w:autoSpaceDE w:val="0"/>
        <w:widowControl/>
        <w:spacing w:line="269" w:lineRule="auto" w:before="154" w:after="0"/>
        <w:ind w:left="828" w:right="1008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Планирование и отчет о выполнении учебной работы по учебным</w:t>
      </w:r>
      <w:r>
        <w:br/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дисциплинам осуществляется в электронном виде в УИС через модуль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«Рабочее место кафедры» научным работником или менеджером научного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подразделения.</w:t>
      </w:r>
    </w:p>
    <w:p>
      <w:pPr>
        <w:autoSpaceDN w:val="0"/>
        <w:autoSpaceDE w:val="0"/>
        <w:widowControl/>
        <w:spacing w:line="274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научный работник выполняет учебную работу в рамках порученной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научному подразделению учебной дисциплины, то за планирование и отчет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выполнении учебной работы в УИС отвечает ответственный за указанный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 менеджер научного подразделения.</w:t>
      </w:r>
    </w:p>
    <w:p>
      <w:pPr>
        <w:autoSpaceDN w:val="0"/>
        <w:autoSpaceDE w:val="0"/>
        <w:widowControl/>
        <w:spacing w:line="274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научный работник выполняет учебную работу не в рамках порученной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научному подразделению образовательной работы, а в рамках разового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поручения определенной части учебной дисциплины департамента, то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планирование и отчет о выполнении учебной работы в УИС отвечает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департамента.</w:t>
      </w:r>
    </w:p>
    <w:p>
      <w:pPr>
        <w:autoSpaceDN w:val="0"/>
        <w:autoSpaceDE w:val="0"/>
        <w:widowControl/>
        <w:spacing w:line="271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научный работник выполнял учебную работу, которую невозможно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зафиксировать в приказе о руководстве студентами (например,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консультирование студентов по темам их исследований), то этот вид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учебной работы самостоятельно оценивается научным работником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часах и фиксируется в УИС менеджером научного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подразделения.</w:t>
      </w:r>
    </w:p>
    <w:p>
      <w:pPr>
        <w:autoSpaceDN w:val="0"/>
        <w:autoSpaceDE w:val="0"/>
        <w:widowControl/>
        <w:spacing w:line="266" w:lineRule="auto" w:before="260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Подлинность предоставленного отчета об исполнении учебной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научным работником в структурные подразделения НИУ ВШЭ (например,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целей конкурсного отбора или иных целей), может подтвердить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26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сотрудник Дирекции основных образовательных программ НИУ ВШЭ путем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направления подтверждения по корпоративной электронной почте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3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Научный фонд или на адрес соответствующего научного работника.</w:t>
            </w:r>
          </w:p>
        </w:tc>
      </w:tr>
    </w:tbl>
    <w:p>
      <w:pPr>
        <w:autoSpaceDN w:val="0"/>
        <w:autoSpaceDE w:val="0"/>
        <w:widowControl/>
        <w:spacing w:line="245" w:lineRule="auto" w:before="662" w:after="172"/>
        <w:ind w:left="304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Нормативные локальные акты НИУ ВШЭ регламентирующие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планирование учебного процесса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Ежегодно в НИУ ВШЭ издаётся приказ, фиксирующий особенности</w:t>
            </w:r>
          </w:p>
        </w:tc>
      </w:tr>
    </w:tbl>
    <w:p>
      <w:pPr>
        <w:autoSpaceDN w:val="0"/>
        <w:autoSpaceDE w:val="0"/>
        <w:widowControl/>
        <w:spacing w:line="274" w:lineRule="auto" w:before="26" w:after="0"/>
        <w:ind w:left="828" w:right="864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планирования учебного процесса. В текущем учебном году это приказ </w:t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</w:t>
          </w:r>
        </w:hyperlink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утверждении локальных нормативных актов, регулирующих планирование и</w:t>
          </w:r>
        </w:hyperlink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организацию учебного процесса по образовательным программам высшего</w:t>
          </w:r>
        </w:hyperlink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образования в Национальном исследовательском университете «Высшая</w:t>
          </w:r>
        </w:hyperlink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школа экономики» в 2025/2026 учебном году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вводит в действие правила, порядки, регламенты и нормативы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которыми осуществляется планирование и контроль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учебным процессом. </w:t>
      </w:r>
    </w:p>
    <w:p>
      <w:pPr>
        <w:autoSpaceDN w:val="0"/>
        <w:autoSpaceDE w:val="0"/>
        <w:widowControl/>
        <w:spacing w:line="274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1.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 xml:space="preserve">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Правила планирования объема, поручения и учета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фактического выполнения учебной нагрузки научно-педагогических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работников на ставку по определенной должности в Национальном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исследовательском университете «Высшая школа экономики» на 2025/2026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учебный год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2.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Порядок установления норм времени по видам контактной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работы на одного обучающегося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университета «Высшая школа экономики» на 2025/2026 учебный год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3.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Регламент подтверждения выполнения учебной работы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научными работниками Национального исследовательского университета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«Высшая школа экономики» на 2025/2026 учебный год</w:t>
          </w:r>
        </w:hyperlink>
      </w:r>
    </w:p>
    <w:p>
      <w:pPr>
        <w:autoSpaceDN w:val="0"/>
        <w:autoSpaceDE w:val="0"/>
        <w:widowControl/>
        <w:spacing w:line="269" w:lineRule="auto" w:before="260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4.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Нормативы для расчета дополнительной образовательной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работы, выполняемой научными работниками, не являющимися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одновременно работниками профессорско-преподавательского состава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Национального исследовательского университета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7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экономики», на 2025/2026 учебный год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52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Приложение 5.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Правила планирования и подтверждения факта оказания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2044700</wp:posOffset>
                  </wp:positionH>
                  <wp:positionV relativeFrom="page">
                    <wp:posOffset>647700</wp:posOffset>
                  </wp:positionV>
                  <wp:extent cx="43180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преподавательских услуг, поручаемых в рамках договоров гражданско-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1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правового характера, в Национальном исследовательском университете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1155700</wp:posOffset>
                  </wp:positionV>
                  <wp:extent cx="54610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1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«Высшая школа экономики» на 2025/2026 учебный год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7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2641600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3022600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3524250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4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4542790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ruz.hse.ru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org/persons/108406" TargetMode="External"/><Relationship Id="rId15" Type="http://schemas.openxmlformats.org/officeDocument/2006/relationships/hyperlink" Target="https://www.hse.ru/data/xf/567/767/2001/6.18-01_030625-1.docx" TargetMode="External"/><Relationship Id="rId16" Type="http://schemas.openxmlformats.org/officeDocument/2006/relationships/hyperlink" Target="https://www.hse.ru/docs/1053199965.html" TargetMode="External"/><Relationship Id="rId17" Type="http://schemas.openxmlformats.org/officeDocument/2006/relationships/hyperlink" Target="https://www.hse.ru/docs/1053201489.html" TargetMode="External"/><Relationship Id="rId18" Type="http://schemas.openxmlformats.org/officeDocument/2006/relationships/hyperlink" Target="https://www.hse.ru/docs/1053214365.html" TargetMode="External"/><Relationship Id="rId19" Type="http://schemas.openxmlformats.org/officeDocument/2006/relationships/hyperlink" Target="https://www.hse.ru/mirror/pubs/share/1083088325" TargetMode="External"/><Relationship Id="rId20" Type="http://schemas.openxmlformats.org/officeDocument/2006/relationships/hyperlink" Target="https://www.hse.ru/docs/1053202585.html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hyperlink" Target="https://library.hse.ru/" TargetMode="External"/><Relationship Id="rId65" Type="http://schemas.openxmlformats.org/officeDocument/2006/relationships/hyperlink" Target="https://id.hse.ru/" TargetMode="External"/><Relationship Id="rId66" Type="http://schemas.openxmlformats.org/officeDocument/2006/relationships/hyperlink" Target="https://bookshop.hse.ru/" TargetMode="External"/><Relationship Id="rId67" Type="http://schemas.openxmlformats.org/officeDocument/2006/relationships/hyperlink" Target="https://print.hse.ru/" TargetMode="External"/><Relationship Id="rId68" Type="http://schemas.openxmlformats.org/officeDocument/2006/relationships/hyperlink" Target="https://mc.hse.ru/" TargetMode="External"/><Relationship Id="rId69" Type="http://schemas.openxmlformats.org/officeDocument/2006/relationships/hyperlink" Target="https://www.hse.ru/science/journals" TargetMode="External"/><Relationship Id="rId70" Type="http://schemas.openxmlformats.org/officeDocument/2006/relationships/hyperlink" Target="http://www.minobrnauki.gov.ru/" TargetMode="External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pbmRuYWdydXprYT9fcj0zNjIyMzAxMTc3NTA4MjE0Mi4yNzk4Mg%3D%3D%5E&amp;id=21308709&amp;cid=20594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