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Разработчикам новых образовательных программ</w:t>
      </w:r>
    </w:p>
    <w:p>
      <w:pPr>
        <w:autoSpaceDN w:val="0"/>
        <w:autoSpaceDE w:val="0"/>
        <w:widowControl/>
        <w:spacing w:line="259" w:lineRule="auto" w:before="378" w:after="0"/>
        <w:ind w:left="0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Существует несколько ключевых моментов, свойственных для каждой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программы: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проведение набора абитуриентов на основании отдельного конкурса;</w:t>
      </w:r>
    </w:p>
    <w:p>
      <w:pPr>
        <w:autoSpaceDN w:val="0"/>
        <w:autoSpaceDE w:val="0"/>
        <w:widowControl/>
        <w:spacing w:line="264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относится к одному из уровней высшего образования и направлению подготовки/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специальности;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 имеет единый учебный план и единый график учебного процесса;</w:t>
      </w:r>
    </w:p>
    <w:p>
      <w:pPr>
        <w:autoSpaceDN w:val="0"/>
        <w:autoSpaceDE w:val="0"/>
        <w:widowControl/>
        <w:spacing w:line="259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образовательная программа имеет академического руководителя и учебный офис,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может иметь академический совет.</w:t>
      </w:r>
    </w:p>
    <w:p>
      <w:pPr>
        <w:autoSpaceDN w:val="0"/>
        <w:autoSpaceDE w:val="0"/>
        <w:widowControl/>
        <w:spacing w:line="269" w:lineRule="auto" w:before="260" w:after="506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 каждой образовательной программы есть определенный «жизненный цикл»,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течение которого она создается, реализуется и может в какой-то момент либо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измениться, превратившись в обновленную программу или, выполнив свое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предназначение — закрыться: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06"/>
        <w:gridCol w:w="5106"/>
      </w:tblGrid>
      <w:tr>
        <w:trPr>
          <w:trHeight w:hRule="exact" w:val="570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6756400</wp:posOffset>
                  </wp:positionV>
                  <wp:extent cx="76200" cy="35179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517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2B8EC0"/>
                <w:sz w:val="31"/>
              </w:rPr>
              <w:t>Этап 1: Лицензирование нового направления подготовки</w:t>
            </w:r>
          </w:p>
          <w:p>
            <w:pPr>
              <w:autoSpaceDN w:val="0"/>
              <w:autoSpaceDE w:val="0"/>
              <w:widowControl/>
              <w:spacing w:line="269" w:lineRule="auto" w:before="232" w:after="0"/>
              <w:ind w:left="16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Лицензирование нового направления подготовки необходимо только в случае,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у вуза еще нет лицензии по тому направлению подготовки, по которому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планируется открытие новой образовательной программы (по вопросам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лицензирования обращаться к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Черновой Оксане Павловне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).</w:t>
            </w:r>
          </w:p>
          <w:p>
            <w:pPr>
              <w:autoSpaceDN w:val="0"/>
              <w:autoSpaceDE w:val="0"/>
              <w:widowControl/>
              <w:spacing w:line="240" w:lineRule="auto" w:before="732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2B8EC0"/>
                <w:sz w:val="31"/>
              </w:rPr>
              <w:t>Этап 2: Открытие новой образовательной программы</w:t>
            </w:r>
          </w:p>
          <w:p>
            <w:pPr>
              <w:autoSpaceDN w:val="0"/>
              <w:autoSpaceDE w:val="0"/>
              <w:widowControl/>
              <w:spacing w:line="271" w:lineRule="auto" w:before="234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открытия новой образовательной программы необходимо подготовить пакет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документов для  обсуждения на учебно-методическом совете НИУ ВШЭ, 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последующего рассмотрения на ректорате и Ученом совете  НИУ ВШЭ (по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вопросам подготовки пакета документов  обращаться к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Залесской Светлане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Николаевне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50" w:bottom="338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1724660</wp:posOffset>
            </wp:positionH>
            <wp:positionV relativeFrom="page">
              <wp:posOffset>8477250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7937500</wp:posOffset>
            </wp:positionV>
            <wp:extent cx="6502400" cy="1028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28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968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419100</wp:posOffset>
                  </wp:positionV>
                  <wp:extent cx="76200" cy="61087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108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0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2B8EC0"/>
                <w:sz w:val="31"/>
              </w:rPr>
              <w:t xml:space="preserve">Этап 3: Реализация образовательной программы </w:t>
            </w:r>
          </w:p>
          <w:p>
            <w:pPr>
              <w:autoSpaceDN w:val="0"/>
              <w:autoSpaceDE w:val="0"/>
              <w:widowControl/>
              <w:spacing w:line="257" w:lineRule="auto" w:before="234" w:after="0"/>
              <w:ind w:left="168" w:right="100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Самый важный и длительный этап в жизни образовательной программы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(проведение  приемных кампаний, обучение и выпуск студентов). См.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действующие регламенты на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https://www.hse.ru/studyspravka/loc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732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2B8EC0"/>
                <w:sz w:val="31"/>
              </w:rPr>
              <w:t>Этап 4: Аккредитация программы</w:t>
            </w:r>
          </w:p>
          <w:p>
            <w:pPr>
              <w:autoSpaceDN w:val="0"/>
              <w:autoSpaceDE w:val="0"/>
              <w:widowControl/>
              <w:spacing w:line="269" w:lineRule="auto" w:before="234" w:after="0"/>
              <w:ind w:left="168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программа была открыта по новому направлению подготовки, то 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необходимо пройти государственную аккредитацию, т.е. получить право на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выдачу дипломов государственного образца (по вопросам подготовки к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аккредитации обращаться к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Черновой Оксане Павловне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).</w:t>
            </w:r>
          </w:p>
          <w:p>
            <w:pPr>
              <w:autoSpaceDN w:val="0"/>
              <w:autoSpaceDE w:val="0"/>
              <w:widowControl/>
              <w:spacing w:line="245" w:lineRule="auto" w:before="730" w:after="0"/>
              <w:ind w:left="168" w:right="115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2B8EC0"/>
                <w:sz w:val="31"/>
              </w:rPr>
              <w:t>Этап 5: Обновление и модернизация программы с целью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2B8EC0"/>
                <w:sz w:val="31"/>
              </w:rPr>
              <w:t>повышения ее конкурентоспособности на рынке</w:t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2B8EC0"/>
                <w:sz w:val="31"/>
              </w:rPr>
              <w:t>образовательных услуг (или) закрытие программы</w:t>
            </w:r>
          </w:p>
          <w:p>
            <w:pPr>
              <w:autoSpaceDN w:val="0"/>
              <w:autoSpaceDE w:val="0"/>
              <w:widowControl/>
              <w:spacing w:line="274" w:lineRule="auto" w:before="234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Образовательные программы регулярно обновляются с учетом развития науки,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техники, культуры, экономики, технологий и социальной сферы. В разделе 3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Положения об основной образовательной программе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(ссылка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https://www.hse.ru/docs/490481899.html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 описаны механизмы обновления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образовательных программ, в том числе переименование программы.</w:t>
            </w:r>
          </w:p>
        </w:tc>
      </w:tr>
    </w:tbl>
    <w:p>
      <w:pPr>
        <w:autoSpaceDN w:val="0"/>
        <w:autoSpaceDE w:val="0"/>
        <w:widowControl/>
        <w:spacing w:line="240" w:lineRule="auto" w:before="98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Порядок подготовки документов к лицензированию нового</w:t>
      </w:r>
    </w:p>
    <w:p>
      <w:pPr>
        <w:autoSpaceDN w:val="0"/>
        <w:autoSpaceDE w:val="0"/>
        <w:widowControl/>
        <w:spacing w:line="240" w:lineRule="auto" w:before="0" w:after="686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направления подготовки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526"/>
        </w:trPr>
        <w:tc>
          <w:tcPr>
            <w:tcW w:type="dxa" w:w="8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00" w:right="144" w:firstLine="0"/>
              <w:jc w:val="left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>1. Принятие решения о лицензировании нового направления</w:t>
            </w: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подготовки </w:t>
            </w:r>
          </w:p>
        </w:tc>
        <w:tc>
          <w:tcPr>
            <w:tcW w:type="dxa" w:w="1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38" w:after="0"/>
              <w:ind w:left="2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117"/>
        <w:gridCol w:w="5117"/>
      </w:tblGrid>
      <w:tr>
        <w:trPr>
          <w:trHeight w:hRule="exact" w:val="784"/>
        </w:trPr>
        <w:tc>
          <w:tcPr>
            <w:tcW w:type="dxa" w:w="9914"/>
            <w:gridSpan w:val="2"/>
            <w:tcBorders/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2" w:after="0"/>
              <w:ind w:left="0" w:right="0" w:firstLine="0"/>
              <w:jc w:val="left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>2. Утверждение образовательной программы, разработанной в целях</w:t>
            </w:r>
          </w:p>
        </w:tc>
      </w:tr>
      <w:tr>
        <w:trPr>
          <w:trHeight w:hRule="exact" w:val="372"/>
        </w:trPr>
        <w:tc>
          <w:tcPr>
            <w:tcW w:type="dxa" w:w="2244"/>
            <w:tcBorders>
              <w:bottom w:sz="6.399999999999636" w:val="single" w:color="#0079C4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лицензирования </w:t>
            </w:r>
          </w:p>
        </w:tc>
        <w:tc>
          <w:tcPr>
            <w:tcW w:type="dxa" w:w="7670"/>
            <w:tcBorders>
              <w:bottom w:sz="6.399999999999636" w:val="single" w:color="#0079C4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9696450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828" w:bottom="418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3607"/>
        <w:gridCol w:w="3607"/>
        <w:gridCol w:w="3607"/>
      </w:tblGrid>
      <w:tr>
        <w:trPr>
          <w:trHeight w:hRule="exact" w:val="800"/>
        </w:trPr>
        <w:tc>
          <w:tcPr>
            <w:tcW w:type="dxa" w:w="81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8" w:after="0"/>
              <w:ind w:left="0" w:right="0" w:firstLine="0"/>
              <w:jc w:val="left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>3. Подготовка документов образовательной программы к</w:t>
            </w:r>
          </w:p>
        </w:tc>
        <w:tc>
          <w:tcPr>
            <w:tcW w:type="dxa" w:w="1770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2344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лицензированию </w:t>
            </w:r>
          </w:p>
        </w:tc>
        <w:tc>
          <w:tcPr>
            <w:tcW w:type="dxa" w:w="5800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2228850</wp:posOffset>
                  </wp:positionH>
                  <wp:positionV relativeFrom="page">
                    <wp:posOffset>971550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770"/>
            <w:tcBorders>
              <w:top w:sz="6.399999999999977" w:val="single" w:color="#0079C4"/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44"/>
        </w:trPr>
        <w:tc>
          <w:tcPr>
            <w:tcW w:type="dxa" w:w="8144"/>
            <w:gridSpan w:val="2"/>
            <w:tcBorders>
              <w:top w:sz="6.399999999999977" w:val="single" w:color="#0079C4"/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4. Согласование всех документов на лицензирование в ДООП </w:t>
            </w:r>
          </w:p>
        </w:tc>
        <w:tc>
          <w:tcPr>
            <w:tcW w:type="dxa" w:w="1770"/>
            <w:tcBorders>
              <w:top w:sz="6.399999999999977" w:val="single" w:color="#0079C4"/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1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5915660</wp:posOffset>
                  </wp:positionH>
                  <wp:positionV relativeFrom="page">
                    <wp:posOffset>1953260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1560"/>
        </w:trPr>
        <w:tc>
          <w:tcPr>
            <w:tcW w:type="dxa" w:w="1772"/>
            <w:tcBorders>
              <w:top w:sz="5.599999999999909" w:val="single" w:color="#0079C4"/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76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Приложения </w:t>
            </w:r>
          </w:p>
        </w:tc>
        <w:tc>
          <w:tcPr>
            <w:tcW w:type="dxa" w:w="300"/>
            <w:tcBorders>
              <w:top w:sz="5.599999999999909" w:val="single" w:color="#0079C4"/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3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1847850</wp:posOffset>
                  </wp:positionH>
                  <wp:positionV relativeFrom="page">
                    <wp:posOffset>2943860</wp:posOffset>
                  </wp:positionV>
                  <wp:extent cx="190500" cy="1905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100" w:after="292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Порядок разработки новой образовательной программы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816"/>
        </w:trPr>
        <w:tc>
          <w:tcPr>
            <w:tcW w:type="dxa" w:w="4984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1. Разработка проекта документов ОП </w:t>
            </w:r>
          </w:p>
        </w:tc>
        <w:tc>
          <w:tcPr>
            <w:tcW w:type="dxa" w:w="4930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4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3905250</wp:posOffset>
                  </wp:positionH>
                  <wp:positionV relativeFrom="page">
                    <wp:posOffset>4629150</wp:posOffset>
                  </wp:positionV>
                  <wp:extent cx="190500" cy="1905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1116"/>
        </w:trPr>
        <w:tc>
          <w:tcPr>
            <w:tcW w:type="dxa" w:w="9600"/>
            <w:gridSpan w:val="2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>2. Обсуждение проекта документов ОП на ученом совете подразделения,</w:t>
            </w:r>
          </w:p>
        </w:tc>
      </w:tr>
      <w:tr>
        <w:trPr>
          <w:trHeight w:hRule="exact" w:val="360"/>
        </w:trPr>
        <w:tc>
          <w:tcPr>
            <w:tcW w:type="dxa" w:w="7844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отвечающего за его разработку и дальнейшую реализацию </w:t>
            </w:r>
          </w:p>
        </w:tc>
        <w:tc>
          <w:tcPr>
            <w:tcW w:type="dxa" w:w="1756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5725160</wp:posOffset>
                  </wp:positionH>
                  <wp:positionV relativeFrom="page">
                    <wp:posOffset>5848350</wp:posOffset>
                  </wp:positionV>
                  <wp:extent cx="190500" cy="1905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1546"/>
        </w:trPr>
        <w:tc>
          <w:tcPr>
            <w:tcW w:type="dxa" w:w="5224"/>
            <w:tcBorders>
              <w:top w:sz="6.400000000000091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3. Экспертиза проекта ОП проректором </w:t>
            </w:r>
          </w:p>
        </w:tc>
        <w:tc>
          <w:tcPr>
            <w:tcW w:type="dxa" w:w="380"/>
            <w:tcBorders>
              <w:top w:sz="6.400000000000091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1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4066540</wp:posOffset>
                  </wp:positionH>
                  <wp:positionV relativeFrom="page">
                    <wp:posOffset>6830059</wp:posOffset>
                  </wp:positionV>
                  <wp:extent cx="190500" cy="1905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1118"/>
        </w:trPr>
        <w:tc>
          <w:tcPr>
            <w:tcW w:type="dxa" w:w="8580"/>
            <w:gridSpan w:val="2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>4. Экспертиза проекта ОП Дирекцией основных образовательных</w:t>
            </w:r>
          </w:p>
        </w:tc>
      </w:tr>
      <w:tr>
        <w:trPr>
          <w:trHeight w:hRule="exact" w:val="360"/>
        </w:trPr>
        <w:tc>
          <w:tcPr>
            <w:tcW w:type="dxa" w:w="1384"/>
            <w:tcBorders>
              <w:top w:sz="5.600000000000364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программ </w:t>
            </w:r>
          </w:p>
        </w:tc>
        <w:tc>
          <w:tcPr>
            <w:tcW w:type="dxa" w:w="7196"/>
            <w:tcBorders>
              <w:top w:sz="5.600000000000364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1619250</wp:posOffset>
                  </wp:positionH>
                  <wp:positionV relativeFrom="page">
                    <wp:posOffset>8049259</wp:posOffset>
                  </wp:positionV>
                  <wp:extent cx="190500" cy="1905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426"/>
        </w:trPr>
        <w:tc>
          <w:tcPr>
            <w:tcW w:type="dxa" w:w="99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98"/>
        </w:trPr>
        <w:tc>
          <w:tcPr>
            <w:tcW w:type="dxa" w:w="5744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2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5. Рассмотрение проекта ОП УМС НИУ ВШЭ </w:t>
            </w:r>
          </w:p>
        </w:tc>
        <w:tc>
          <w:tcPr>
            <w:tcW w:type="dxa" w:w="4170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4391660</wp:posOffset>
                  </wp:positionH>
                  <wp:positionV relativeFrom="page">
                    <wp:posOffset>9029700</wp:posOffset>
                  </wp:positionV>
                  <wp:extent cx="190500" cy="1905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10820"/>
      </w:tblGrid>
      <w:tr>
        <w:trPr>
          <w:trHeight w:hRule="exact" w:val="816"/>
        </w:trPr>
        <w:tc>
          <w:tcPr>
            <w:tcW w:type="dxa" w:w="9494"/>
            <w:tcBorders>
              <w:bottom w:sz="6.399999999999977" w:val="single" w:color="#0079C4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>6. Рассмотрение вопроса об утверждении ОП ученым советом НИУ ВШЭ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.0" w:type="dxa"/>
      </w:tblPr>
      <w:tblGrid>
        <w:gridCol w:w="10820"/>
      </w:tblGrid>
      <w:tr>
        <w:trPr>
          <w:trHeight w:hRule="exact" w:val="398"/>
        </w:trPr>
        <w:tc>
          <w:tcPr>
            <w:tcW w:type="dxa" w:w="640"/>
            <w:tcBorders>
              <w:top w:sz="6.399999999999977" w:val="single" w:color="#0079C4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3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971550</wp:posOffset>
                  </wp:positionV>
                  <wp:extent cx="190500" cy="1905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1044" w:after="306"/>
        <w:ind w:left="30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Подготовка к государственной аккредитации образовательной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деятельности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3607"/>
        <w:gridCol w:w="3607"/>
        <w:gridCol w:w="3607"/>
      </w:tblGrid>
      <w:tr>
        <w:trPr>
          <w:trHeight w:hRule="exact" w:val="820"/>
        </w:trPr>
        <w:tc>
          <w:tcPr>
            <w:tcW w:type="dxa" w:w="9284"/>
            <w:gridSpan w:val="2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2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1. Инициация процедуры подготовки к государственной аккредитации </w:t>
            </w:r>
          </w:p>
        </w:tc>
        <w:tc>
          <w:tcPr>
            <w:tcW w:type="dxa" w:w="630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6639559</wp:posOffset>
                  </wp:positionH>
                  <wp:positionV relativeFrom="page">
                    <wp:posOffset>2933700</wp:posOffset>
                  </wp:positionV>
                  <wp:extent cx="190500" cy="1905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544"/>
        </w:trPr>
        <w:tc>
          <w:tcPr>
            <w:tcW w:type="dxa" w:w="8322"/>
            <w:tcBorders>
              <w:top w:sz="5.599999999999909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2. Подготовка документов ОП к государственной аккредитации </w:t>
            </w:r>
          </w:p>
        </w:tc>
        <w:tc>
          <w:tcPr>
            <w:tcW w:type="dxa" w:w="962"/>
            <w:tcBorders>
              <w:top w:sz="5.599999999999909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14" w:after="0"/>
              <w:ind w:left="1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6029960</wp:posOffset>
                  </wp:positionH>
                  <wp:positionV relativeFrom="page">
                    <wp:posOffset>3914140</wp:posOffset>
                  </wp:positionV>
                  <wp:extent cx="190500" cy="1905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30"/>
            <w:tcBorders>
              <w:top w:sz="5.599999999999909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1118"/>
        </w:trPr>
        <w:tc>
          <w:tcPr>
            <w:tcW w:type="dxa" w:w="9614"/>
            <w:gridSpan w:val="2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>3. Подготовка заявления о государственной аккредитации и прилагаемых</w:t>
            </w:r>
          </w:p>
        </w:tc>
      </w:tr>
      <w:tr>
        <w:trPr>
          <w:trHeight w:hRule="exact" w:val="360"/>
        </w:trPr>
        <w:tc>
          <w:tcPr>
            <w:tcW w:type="dxa" w:w="2544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к нему документов </w:t>
            </w:r>
          </w:p>
        </w:tc>
        <w:tc>
          <w:tcPr>
            <w:tcW w:type="dxa" w:w="7070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2362200</wp:posOffset>
                  </wp:positionH>
                  <wp:positionV relativeFrom="page">
                    <wp:posOffset>5133340</wp:posOffset>
                  </wp:positionV>
                  <wp:extent cx="190500" cy="1905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1544"/>
        </w:trPr>
        <w:tc>
          <w:tcPr>
            <w:tcW w:type="dxa" w:w="1748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Приложения </w:t>
            </w:r>
          </w:p>
        </w:tc>
        <w:tc>
          <w:tcPr>
            <w:tcW w:type="dxa" w:w="370"/>
            <w:tcBorders>
              <w:top w:sz="6.400000000000091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1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1847850</wp:posOffset>
                  </wp:positionH>
                  <wp:positionV relativeFrom="page">
                    <wp:posOffset>6115050</wp:posOffset>
                  </wp:positionV>
                  <wp:extent cx="190500" cy="1905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1098" w:after="290"/>
        <w:ind w:left="300" w:right="129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Порядок переименования образовательной программы с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полным сохранением ее содержания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818"/>
        </w:trPr>
        <w:tc>
          <w:tcPr>
            <w:tcW w:type="dxa" w:w="6904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2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1. Согласование переименования ОП с проректором </w:t>
            </w:r>
          </w:p>
        </w:tc>
        <w:tc>
          <w:tcPr>
            <w:tcW w:type="dxa" w:w="3010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6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5133340</wp:posOffset>
                  </wp:positionH>
                  <wp:positionV relativeFrom="page">
                    <wp:posOffset>8077200</wp:posOffset>
                  </wp:positionV>
                  <wp:extent cx="190500" cy="1905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1118"/>
        </w:trPr>
        <w:tc>
          <w:tcPr>
            <w:tcW w:type="dxa" w:w="9164"/>
            <w:gridSpan w:val="2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2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>2. Обсуждение переименования ОП на ученом совете подразделения,</w:t>
            </w:r>
          </w:p>
        </w:tc>
      </w:tr>
      <w:tr>
        <w:trPr>
          <w:trHeight w:hRule="exact" w:val="340"/>
        </w:trPr>
        <w:tc>
          <w:tcPr>
            <w:tcW w:type="dxa" w:w="5424"/>
            <w:tcBorders>
              <w:top w:sz="5.600000000000364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отвечающего за реализацию программы </w:t>
            </w:r>
          </w:p>
        </w:tc>
        <w:tc>
          <w:tcPr>
            <w:tcW w:type="dxa" w:w="3740"/>
            <w:tcBorders>
              <w:top w:sz="5.600000000000364" w:val="single" w:color="#0079C4"/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4191000</wp:posOffset>
                  </wp:positionH>
                  <wp:positionV relativeFrom="page">
                    <wp:posOffset>9296400</wp:posOffset>
                  </wp:positionV>
                  <wp:extent cx="190500" cy="1905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816"/>
        </w:trPr>
        <w:tc>
          <w:tcPr>
            <w:tcW w:type="dxa" w:w="8968"/>
            <w:gridSpan w:val="2"/>
            <w:tcBorders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>3. Экспертиза пакета документов на переименование ОП Дирекцией</w:t>
            </w:r>
          </w:p>
        </w:tc>
      </w:tr>
      <w:tr>
        <w:trPr>
          <w:trHeight w:hRule="exact" w:val="360"/>
        </w:trPr>
        <w:tc>
          <w:tcPr>
            <w:tcW w:type="dxa" w:w="5064"/>
            <w:tcBorders>
              <w:top w:sz="6.399999999999977" w:val="single" w:color="#0079C4"/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основных образовательных программ </w:t>
            </w:r>
          </w:p>
        </w:tc>
        <w:tc>
          <w:tcPr>
            <w:tcW w:type="dxa" w:w="3904"/>
            <w:tcBorders>
              <w:top w:sz="6.399999999999977" w:val="single" w:color="#0079C4"/>
              <w:bottom w:sz="6.399999999999977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3962400</wp:posOffset>
                  </wp:positionH>
                  <wp:positionV relativeFrom="page">
                    <wp:posOffset>971550</wp:posOffset>
                  </wp:positionV>
                  <wp:extent cx="190500" cy="1905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9.9999999999999" w:type="dxa"/>
      </w:tblPr>
      <w:tblGrid>
        <w:gridCol w:w="5410"/>
        <w:gridCol w:w="5410"/>
      </w:tblGrid>
      <w:tr>
        <w:trPr>
          <w:trHeight w:hRule="exact" w:val="1116"/>
        </w:trPr>
        <w:tc>
          <w:tcPr>
            <w:tcW w:type="dxa" w:w="8324"/>
            <w:gridSpan w:val="2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>4. Рассмотрение вопроса о переименовании програмы Учебно-</w:t>
            </w:r>
          </w:p>
        </w:tc>
      </w:tr>
      <w:tr>
        <w:trPr>
          <w:trHeight w:hRule="exact" w:val="360"/>
        </w:trPr>
        <w:tc>
          <w:tcPr>
            <w:tcW w:type="dxa" w:w="3084"/>
            <w:tcBorders>
              <w:top w:sz="5.599999999999909" w:val="single" w:color="#0079C4"/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11111534966363"/>
                <w:rFonts w:ascii="Segoe UI Semibold" w:hAnsi="Segoe UI Semibold" w:eastAsia="Segoe UI Semibold"/>
                <w:b/>
                <w:i w:val="0"/>
                <w:color w:val="007AC5"/>
                <w:sz w:val="27"/>
              </w:rPr>
              <w:t xml:space="preserve">методическим советом </w:t>
            </w:r>
          </w:p>
        </w:tc>
        <w:tc>
          <w:tcPr>
            <w:tcW w:type="dxa" w:w="5240"/>
            <w:tcBorders>
              <w:top w:sz="5.599999999999909" w:val="single" w:color="#0079C4"/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2705100</wp:posOffset>
                  </wp:positionH>
                  <wp:positionV relativeFrom="page">
                    <wp:posOffset>2181860</wp:posOffset>
                  </wp:positionV>
                  <wp:extent cx="190500" cy="1905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64" w:lineRule="auto" w:before="1142" w:after="0"/>
        <w:ind w:left="300" w:right="504" w:firstLine="0"/>
        <w:jc w:val="both"/>
      </w:pPr>
      <w:r>
        <w:rPr>
          <w:rFonts w:ascii="Segoe UI Semibold" w:hAnsi="Segoe UI Semibold" w:eastAsia="Segoe UI Semibold"/>
          <w:b/>
          <w:i w:val="0"/>
          <w:color w:val="000000"/>
          <w:sz w:val="23"/>
        </w:rPr>
        <w:t>Примечание: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В случае возникновения разногласий при рассмотрении проекта ОП на каждом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из этапов согласования инициатор открытия новой программы / разработчики вправе учесть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замечания и доработать материалы, обеспечив их дальнейшее оперативное согласование.</w:t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4521200</wp:posOffset>
            </wp:positionV>
            <wp:extent cx="508000" cy="2413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4902200</wp:posOffset>
            </wp:positionV>
            <wp:extent cx="1346200" cy="317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5400040</wp:posOffset>
            </wp:positionV>
            <wp:extent cx="228600" cy="2286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6515100</wp:posOffset>
            </wp:positionV>
            <wp:extent cx="6877050" cy="377015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77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792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1" w:history="1">
          <w:r>
            <w:rPr>
              <w:rStyle w:val="Hyperlink"/>
            </w:rPr>
            <w:t>Редактору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812425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812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18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hse.ru/org/persons/323912468" TargetMode="External"/><Relationship Id="rId13" Type="http://schemas.openxmlformats.org/officeDocument/2006/relationships/hyperlink" Target="https://www.hse.ru/org/persons/220868404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www.hse.ru/studyspravka/loc" TargetMode="External"/><Relationship Id="rId17" Type="http://schemas.openxmlformats.org/officeDocument/2006/relationships/hyperlink" Target="https://www.hse.ru/docs/490481899.html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education/" TargetMode="External"/><Relationship Id="rId39" Type="http://schemas.openxmlformats.org/officeDocument/2006/relationships/hyperlink" Target="https://school.hse.ru/" TargetMode="External"/><Relationship Id="rId40" Type="http://schemas.openxmlformats.org/officeDocument/2006/relationships/hyperlink" Target="https://fdp.hse.ru/" TargetMode="External"/><Relationship Id="rId41" Type="http://schemas.openxmlformats.org/officeDocument/2006/relationships/hyperlink" Target="https://olymp.hse.ru/" TargetMode="External"/><Relationship Id="rId42" Type="http://schemas.openxmlformats.org/officeDocument/2006/relationships/hyperlink" Target="https://ba.hse.ru/" TargetMode="External"/><Relationship Id="rId43" Type="http://schemas.openxmlformats.org/officeDocument/2006/relationships/hyperlink" Target="https://www.hse.ru/plus" TargetMode="External"/><Relationship Id="rId44" Type="http://schemas.openxmlformats.org/officeDocument/2006/relationships/hyperlink" Target="https://ma.hse.ru/" TargetMode="External"/><Relationship Id="rId45" Type="http://schemas.openxmlformats.org/officeDocument/2006/relationships/hyperlink" Target="https://aspirantura.hse.ru/" TargetMode="External"/><Relationship Id="rId46" Type="http://schemas.openxmlformats.org/officeDocument/2006/relationships/hyperlink" Target="https://busedu.hse.ru/" TargetMode="External"/><Relationship Id="rId47" Type="http://schemas.openxmlformats.org/officeDocument/2006/relationships/hyperlink" Target="https://career.hse.ru/" TargetMode="External"/><Relationship Id="rId48" Type="http://schemas.openxmlformats.org/officeDocument/2006/relationships/hyperlink" Target="http://inc.hse.ru/" TargetMode="External"/><Relationship Id="rId49" Type="http://schemas.openxmlformats.org/officeDocument/2006/relationships/hyperlink" Target="https://dd.hse.ru/" TargetMode="External"/><Relationship Id="rId50" Type="http://schemas.openxmlformats.org/officeDocument/2006/relationships/hyperlink" Target="https://www.hse.ru/feedback" TargetMode="External"/><Relationship Id="rId51" Type="http://schemas.openxmlformats.org/officeDocument/2006/relationships/hyperlink" Target="https://www.hse.ru/science/" TargetMode="External"/><Relationship Id="rId52" Type="http://schemas.openxmlformats.org/officeDocument/2006/relationships/hyperlink" Target="https://www.hse.ru/science/centers" TargetMode="External"/><Relationship Id="rId53" Type="http://schemas.openxmlformats.org/officeDocument/2006/relationships/hyperlink" Target="https://www.hse.ru/org/projects/" TargetMode="External"/><Relationship Id="rId54" Type="http://schemas.openxmlformats.org/officeDocument/2006/relationships/hyperlink" Target="https://www.hse.ru/monitoring/" TargetMode="External"/><Relationship Id="rId55" Type="http://schemas.openxmlformats.org/officeDocument/2006/relationships/hyperlink" Target="https://www.hse.ru/science/disscoun/" TargetMode="External"/><Relationship Id="rId56" Type="http://schemas.openxmlformats.org/officeDocument/2006/relationships/hyperlink" Target="https://aspirantura.hse.ru/defence/announcements/" TargetMode="External"/><Relationship Id="rId57" Type="http://schemas.openxmlformats.org/officeDocument/2006/relationships/hyperlink" Target="https://academics.hse.ru/" TargetMode="External"/><Relationship Id="rId58" Type="http://schemas.openxmlformats.org/officeDocument/2006/relationships/hyperlink" Target="https://www.hse.ru/science/hsegrants" TargetMode="External"/><Relationship Id="rId59" Type="http://schemas.openxmlformats.org/officeDocument/2006/relationships/hyperlink" Target="https://sezam.hse.ru/" TargetMode="External"/><Relationship Id="rId60" Type="http://schemas.openxmlformats.org/officeDocument/2006/relationships/hyperlink" Target="https://publications.hse.ru/" TargetMode="External"/><Relationship Id="rId61" Type="http://schemas.openxmlformats.org/officeDocument/2006/relationships/hyperlink" Target="https://library.hse.ru/" TargetMode="External"/><Relationship Id="rId62" Type="http://schemas.openxmlformats.org/officeDocument/2006/relationships/hyperlink" Target="https://id.hse.ru/" TargetMode="External"/><Relationship Id="rId63" Type="http://schemas.openxmlformats.org/officeDocument/2006/relationships/hyperlink" Target="https://bookshop.hse.ru/" TargetMode="External"/><Relationship Id="rId64" Type="http://schemas.openxmlformats.org/officeDocument/2006/relationships/hyperlink" Target="https://print.hse.ru/" TargetMode="External"/><Relationship Id="rId65" Type="http://schemas.openxmlformats.org/officeDocument/2006/relationships/hyperlink" Target="https://mc.hse.ru/" TargetMode="External"/><Relationship Id="rId66" Type="http://schemas.openxmlformats.org/officeDocument/2006/relationships/hyperlink" Target="https://www.hse.ru/science/journals" TargetMode="External"/><Relationship Id="rId67" Type="http://schemas.openxmlformats.org/officeDocument/2006/relationships/hyperlink" Target="http://www.minobrnauki.gov.ru/" TargetMode="External"/><Relationship Id="rId68" Type="http://schemas.openxmlformats.org/officeDocument/2006/relationships/hyperlink" Target="https://edu.gov.ru/" TargetMode="External"/><Relationship Id="rId69" Type="http://schemas.openxmlformats.org/officeDocument/2006/relationships/hyperlink" Target="http://www.edu.ru/" TargetMode="External"/><Relationship Id="rId70" Type="http://schemas.openxmlformats.org/officeDocument/2006/relationships/hyperlink" Target="https://elearning.hse.ru/mooc" TargetMode="External"/><Relationship Id="rId71" Type="http://schemas.openxmlformats.org/officeDocument/2006/relationships/hyperlink" Target="https://www.hse.ru/adm/edit/edit.html?goto=%2AL3N0dWR5c3ByYXZrYS9uZXdwcm9ncmFtP19yPTM2MjM4MzQxNzc1MDgxODY2LjQxNjc%3D%5E&amp;id=306911617&amp;cid=20594&amp;addon_name=default&amp;newportal=1" TargetMode="External"/><Relationship Id="rId72" Type="http://schemas.openxmlformats.org/officeDocument/2006/relationships/image" Target="media/image9.png"/><Relationship Id="rId73" Type="http://schemas.openxmlformats.org/officeDocument/2006/relationships/hyperlink" Target="https://www.hse.ru/contacts.html" TargetMode="External"/><Relationship Id="rId74" Type="http://schemas.openxmlformats.org/officeDocument/2006/relationships/hyperlink" Target="https://www.hse.ru/copyright" TargetMode="External"/><Relationship Id="rId75" Type="http://schemas.openxmlformats.org/officeDocument/2006/relationships/hyperlink" Target="https://www.hse.ru/data_protection_regulation" TargetMode="External"/><Relationship Id="rId76" Type="http://schemas.openxmlformats.org/officeDocument/2006/relationships/hyperlink" Target="https://www.hse.ru/sitemap.html" TargetMode="External"/><Relationship Id="rId77" Type="http://schemas.openxmlformats.org/officeDocument/2006/relationships/hyperlink" Target="https://design.hse.ru/" TargetMode="External"/><Relationship Id="rId7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