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24" w:val="left"/>
        </w:tabs>
        <w:autoSpaceDE w:val="0"/>
        <w:widowControl/>
        <w:spacing w:line="240" w:lineRule="auto" w:before="198" w:after="0"/>
        <w:ind w:left="736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62" w:right="115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Системы оценивания и принципы расчета оценок: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362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40" w:lineRule="auto" w:before="790" w:after="126"/>
        <w:ind w:left="362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Контроль успеваемости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10912"/>
      </w:tblGrid>
      <w:tr>
        <w:trPr>
          <w:trHeight w:hRule="exact" w:val="1256"/>
        </w:trPr>
        <w:tc>
          <w:tcPr>
            <w:tcW w:type="dxa" w:w="10064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Текущий контроль успеваемости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12"/>
      </w:tblGrid>
      <w:tr>
        <w:trPr>
          <w:trHeight w:hRule="exact" w:val="424"/>
        </w:trPr>
        <w:tc>
          <w:tcPr>
            <w:tcW w:type="dxa" w:w="10892"/>
            <w:tcBorders/>
            <w:shd w:fill="b0c2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Это регулярное и систематическое оценивание хода освоения дисциплин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6.0" w:type="dxa"/>
      </w:tblPr>
      <w:tblGrid>
        <w:gridCol w:w="10912"/>
      </w:tblGrid>
      <w:tr>
        <w:trPr>
          <w:trHeight w:hRule="exact" w:val="390"/>
        </w:trPr>
        <w:tc>
          <w:tcPr>
            <w:tcW w:type="dxa" w:w="9620"/>
            <w:tcBorders/>
            <w:shd w:fill="b0c2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включает в себя оценки за несколько Элементов контроля (домашние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6.0" w:type="dxa"/>
      </w:tblPr>
      <w:tblGrid>
        <w:gridCol w:w="10912"/>
      </w:tblGrid>
      <w:tr>
        <w:trPr>
          <w:trHeight w:hRule="exact" w:val="396"/>
        </w:trPr>
        <w:tc>
          <w:tcPr>
            <w:tcW w:type="dxa" w:w="9480"/>
            <w:tcBorders/>
            <w:shd w:fill="b0c2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работы, эссе, проекты, лабораторные работы, контрольные работы,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10912"/>
      </w:tblGrid>
      <w:tr>
        <w:trPr>
          <w:trHeight w:hRule="exact" w:val="1112"/>
        </w:trPr>
        <w:tc>
          <w:tcPr>
            <w:tcW w:type="dxa" w:w="10064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выступления на семинарах и др.) </w:t>
            </w:r>
          </w:p>
        </w:tc>
      </w:tr>
    </w:tbl>
    <w:p>
      <w:pPr>
        <w:autoSpaceDN w:val="0"/>
        <w:autoSpaceDE w:val="0"/>
        <w:widowControl/>
        <w:spacing w:line="3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10912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Промежуточная аттестация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10912"/>
      </w:tblGrid>
      <w:tr>
        <w:trPr>
          <w:trHeight w:hRule="exact" w:val="430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Это расчет промежуточной/окончательной оценки по Дисциплине,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результат которой зависит от оценок по всем элементам контроля. </w:t>
      </w:r>
    </w:p>
    <w:p>
      <w:pPr>
        <w:autoSpaceDN w:val="0"/>
        <w:autoSpaceDE w:val="0"/>
        <w:widowControl/>
        <w:spacing w:line="240" w:lineRule="auto" w:before="50" w:after="0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Промежуточная аттестация проводится во время сессии. Принцип расчета</w:t>
      </w:r>
    </w:p>
    <w:p>
      <w:pPr>
        <w:autoSpaceDN w:val="0"/>
        <w:autoSpaceDE w:val="0"/>
        <w:widowControl/>
        <w:spacing w:line="240" w:lineRule="auto" w:before="50" w:after="34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по дисциплине преподаватель описывает в программе учебной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6.0" w:type="dxa"/>
      </w:tblPr>
      <w:tblGrid>
        <w:gridCol w:w="10912"/>
      </w:tblGrid>
      <w:tr>
        <w:trPr>
          <w:trHeight w:hRule="exact" w:val="430"/>
        </w:trPr>
        <w:tc>
          <w:tcPr>
            <w:tcW w:type="dxa" w:w="65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дисциплины (ПУД).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.0" w:type="dxa"/>
      </w:tblPr>
      <w:tblGrid>
        <w:gridCol w:w="10912"/>
      </w:tblGrid>
      <w:tr>
        <w:trPr>
          <w:trHeight w:hRule="exact" w:val="424"/>
        </w:trPr>
        <w:tc>
          <w:tcPr>
            <w:tcW w:type="dxa" w:w="94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6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Важно: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 xml:space="preserve"> Вы вправе составить дисциплину, не предусматривающую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экзамен (это необходимо зафиксировать в ПУД), но в период сессии обязаны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6.0" w:type="dxa"/>
      </w:tblPr>
      <w:tblGrid>
        <w:gridCol w:w="10912"/>
      </w:tblGrid>
      <w:tr>
        <w:trPr>
          <w:trHeight w:hRule="exact" w:val="404"/>
        </w:trPr>
        <w:tc>
          <w:tcPr>
            <w:tcW w:type="dxa" w:w="95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рассчитать и выставить оценку по промежуточной аттестации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12" w:bottom="336" w:left="4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Оценки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Вышке оценки выставляются по 10‑балльной шкале . При этом для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каждого балла установлено соответствие 5‑балльной шкале, официально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принятой в России, и европейской шкале ECTS.</w:t>
      </w:r>
    </w:p>
    <w:p>
      <w:pPr>
        <w:autoSpaceDN w:val="0"/>
        <w:autoSpaceDE w:val="0"/>
        <w:widowControl/>
        <w:spacing w:line="240" w:lineRule="auto" w:before="26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оценивании текущих результатов преподаватель имеет право</w:t>
      </w:r>
    </w:p>
    <w:p>
      <w:pPr>
        <w:autoSpaceDN w:val="0"/>
        <w:autoSpaceDE w:val="0"/>
        <w:widowControl/>
        <w:spacing w:line="240" w:lineRule="auto" w:before="52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использовать любую шкалу, но при выставлении оценок в ведомость 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476"/>
        </w:trPr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должен перевести их в 10‑балльную шкалу:</w:t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«Отлично»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8-10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баллов;</w:t>
            </w:r>
          </w:p>
        </w:tc>
      </w:tr>
      <w:tr>
        <w:trPr>
          <w:trHeight w:hRule="exact" w:val="58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«Хорошо»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6-7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баллов;</w:t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«Удовлетворительно»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4-5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баллов;</w:t>
            </w:r>
          </w:p>
        </w:tc>
      </w:tr>
      <w:tr>
        <w:trPr>
          <w:trHeight w:hRule="exact" w:val="52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«Неудовлетворительно» -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0-3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балла.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82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 xml:space="preserve">Важно: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Порядок и система оценивания прописываются в Программе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учебной дисциплины. </w:t>
      </w:r>
    </w:p>
    <w:p>
      <w:pPr>
        <w:autoSpaceDN w:val="0"/>
        <w:autoSpaceDE w:val="0"/>
        <w:widowControl/>
        <w:spacing w:line="240" w:lineRule="auto" w:before="26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 «Отлично», «Хорошо», «Удовлетворительно» считаются</w:t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положительными оценками.</w:t>
      </w:r>
    </w:p>
    <w:p>
      <w:pPr>
        <w:autoSpaceDN w:val="0"/>
        <w:autoSpaceDE w:val="0"/>
        <w:widowControl/>
        <w:spacing w:line="240" w:lineRule="auto" w:before="26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Неудовлетворительная оценка по элементу контроля по дисциплине не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быть причиной недопуска студента к следующим элементам контроля</w:t>
      </w:r>
    </w:p>
    <w:p>
      <w:pPr>
        <w:autoSpaceDN w:val="0"/>
        <w:autoSpaceDE w:val="0"/>
        <w:widowControl/>
        <w:spacing w:line="240" w:lineRule="auto" w:before="66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(включая экзамены) по этой Дисциплине, проводимым до окончания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ближайшей сессии, в которую предусмотрена промежуточная аттестация.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Оценки "9" и "10"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Оценки «9» и «10» могут применяться преподавателем в рамках текущего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9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контроля или при промежуточной аттестации, если обучающийся выполняет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0"/>
        </w:trPr>
        <w:tc>
          <w:tcPr>
            <w:tcW w:type="dxa" w:w="9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задания повышенной трудности и/или демонстрирует результаты обучения,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0"/>
        </w:trPr>
        <w:tc>
          <w:tcPr>
            <w:tcW w:type="dxa" w:w="98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превосходящие  предусмотренные программой учебной дисциплины или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6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программой практики.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4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Критерии выставления оценок «9» и «10» определяются преподавателем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4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самостоятельно – по элементам текущего контроля, экзамену или текущей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аттестации в целом. Кроме того, преподаватель может предусмотреть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дополнительные задания, без которых невозможно получить «9» и «10».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2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Содержание ПУД является основной стратегией изучения дисциплины для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многих студентов. Важно, чтобы критерии выставления оценок «9» и «10»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88"/>
        </w:trPr>
        <w:tc>
          <w:tcPr>
            <w:tcW w:type="dxa" w:w="9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обязательном порядке были зафиксированы в ПУД в простой и понятной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форме.</w:t>
            </w:r>
          </w:p>
        </w:tc>
      </w:tr>
    </w:tbl>
    <w:p>
      <w:pPr>
        <w:autoSpaceDN w:val="0"/>
        <w:autoSpaceDE w:val="0"/>
        <w:widowControl/>
        <w:spacing w:line="9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Расчет промежуточной и окончательной оценок</w:t>
            </w:r>
          </w:p>
        </w:tc>
      </w:tr>
    </w:tbl>
    <w:p>
      <w:pPr>
        <w:autoSpaceDN w:val="0"/>
        <w:autoSpaceDE w:val="0"/>
        <w:widowControl/>
        <w:spacing w:line="238" w:lineRule="auto" w:before="15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ваша дисциплина идет несколько модулей и вы будете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рассчитывать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промежуточную оценку несколько раз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то программа учебной дисциплины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(ПУД) должна содержать описание правил расчета оценки для каждого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периода (промежуточная оценка) и в целом по дисциплине (окончательная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оценка). </w:t>
      </w:r>
    </w:p>
    <w:p>
      <w:pPr>
        <w:autoSpaceDN w:val="0"/>
        <w:autoSpaceDE w:val="0"/>
        <w:widowControl/>
        <w:spacing w:line="238" w:lineRule="auto" w:before="262" w:after="0"/>
        <w:ind w:left="82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Окончательная оценка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дисциплине, которая и будет напечатана в</w:t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дипломе студента, может быть выведена по какому-либо правилу из всех</w:t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промежуточных, либо может совпадать с последней промежуточной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оценкой. На данный момент формула расчёта окончательной оценки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задаётся в качестве расчёта оценки по последней из промежуточных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аттестаций, именно оценка, рассчитанная за последний учебный период,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идёт в диплом.</w:t>
      </w:r>
    </w:p>
    <w:p>
      <w:pPr>
        <w:autoSpaceDN w:val="0"/>
        <w:autoSpaceDE w:val="0"/>
        <w:widowControl/>
        <w:spacing w:line="240" w:lineRule="auto" w:before="262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Выберите один из этих вариантов заранее, зафиксируйте в ПУД и сообщите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3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студентам.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92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12" w:after="0"/>
              <w:ind w:left="632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Построение формулы расчета промежуточной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оценки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Формула расчета оценки/правило получения оценки по промежуточной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аттестации может быть построена различными способами. Это может быть: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40"/>
        </w:trPr>
        <w:tc>
          <w:tcPr>
            <w:tcW w:type="dxa" w:w="8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взвешенная сумма оценок по элементам контроля;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64"/>
        </w:trPr>
        <w:tc>
          <w:tcPr>
            <w:tcW w:type="dxa" w:w="952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7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нелинейное выражение с использованием разнообразных элементов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476"/>
        </w:trPr>
        <w:tc>
          <w:tcPr>
            <w:tcW w:type="dxa" w:w="8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выбора;</w:t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ранжирование результатов по определенным правилам;</w:t>
            </w:r>
          </w:p>
        </w:tc>
      </w:tr>
      <w:tr>
        <w:trPr>
          <w:trHeight w:hRule="exact" w:val="53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иное.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2"/>
        </w:trPr>
        <w:tc>
          <w:tcPr>
            <w:tcW w:type="dxa" w:w="93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/>
                <w:color w:val="000000"/>
                <w:sz w:val="26"/>
              </w:rPr>
              <w:t>Важно: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 xml:space="preserve"> Формула обязательно фиксируется в Программе учебной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2"/>
        </w:trPr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дисциплины.</w:t>
            </w:r>
          </w:p>
        </w:tc>
      </w:tr>
    </w:tbl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Округление промежуточной оценки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Полученная оценка обязательно округляется и масштабируется по 10-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балльной шкале.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4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Округление возможно на двух этапах: округление оценки за элемент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 (контрольную работу, эссе) и после нахождения взвешенной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суммы, то есть после сложения всех элементов контроля с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соответствующими весами. </w:t>
      </w:r>
    </w:p>
    <w:p>
      <w:pPr>
        <w:autoSpaceDN w:val="0"/>
        <w:autoSpaceDE w:val="0"/>
        <w:widowControl/>
        <w:spacing w:line="240" w:lineRule="auto" w:before="52" w:after="26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Округление взвешенных (умноженных на коэффициенты) элементов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5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контроля до их сложения друг с другом, как правило, не применяется.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Правила округления промежуточной оценки обязательно прописываются в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программе учебной дисциплины. </w:t>
      </w:r>
    </w:p>
    <w:p>
      <w:pPr>
        <w:autoSpaceDN w:val="0"/>
        <w:autoSpaceDE w:val="0"/>
        <w:widowControl/>
        <w:spacing w:line="240" w:lineRule="auto" w:before="6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не зафиксировано иного, то применяется арифметическое округление 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ближайшему целому.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Апелляция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имеет право на апелляцию результатов Элементов контроля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(включая пересдачи), объявленных в ПУД блокирующими и (или) экзаменов,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 исключением случаев, когда результат по вышеуказанным Элементам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04"/>
        </w:trPr>
        <w:tc>
          <w:tcPr>
            <w:tcW w:type="dxa" w:w="7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контроля составляет 8 баллов и выше.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Заявление на апелляцию подается студентом на имя академического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 в течение трех рабочих дней с момента объявления оценки за</w:t>
      </w:r>
    </w:p>
    <w:p>
      <w:pPr>
        <w:autoSpaceDN w:val="0"/>
        <w:autoSpaceDE w:val="0"/>
        <w:widowControl/>
        <w:spacing w:line="240" w:lineRule="auto" w:before="6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блокирующий Элемент контроля и (или) экзамен, на результаты которого</w:t>
      </w:r>
    </w:p>
    <w:p>
      <w:pPr>
        <w:autoSpaceDN w:val="0"/>
        <w:autoSpaceDE w:val="0"/>
        <w:widowControl/>
        <w:spacing w:line="240" w:lineRule="auto" w:before="50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подается апелляция.</w:t>
      </w:r>
    </w:p>
    <w:p>
      <w:pPr>
        <w:autoSpaceDN w:val="0"/>
        <w:autoSpaceDE w:val="0"/>
        <w:widowControl/>
        <w:spacing w:line="240" w:lineRule="auto" w:before="260" w:after="24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заявлении должны быть указаны конкретные основания для апелляции. 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5410"/>
        <w:gridCol w:w="5410"/>
      </w:tblGrid>
      <w:tr>
        <w:trPr>
          <w:trHeight w:hRule="exact" w:val="492"/>
        </w:trPr>
        <w:tc>
          <w:tcPr>
            <w:tcW w:type="dxa" w:w="10326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ним могут относиться:</w:t>
            </w:r>
          </w:p>
        </w:tc>
      </w:tr>
      <w:tr>
        <w:trPr>
          <w:trHeight w:hRule="exact" w:val="506"/>
        </w:trPr>
        <w:tc>
          <w:tcPr>
            <w:tcW w:type="dxa" w:w="952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7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оценивание заданий, не соответствующее критериям, установленным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494"/>
        </w:trPr>
        <w:tc>
          <w:tcPr>
            <w:tcW w:type="dxa" w:w="9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ПУД или нарушение методики выставления оценки за работу;</w:t>
            </w:r>
          </w:p>
        </w:tc>
      </w:tr>
      <w:tr>
        <w:trPr>
          <w:trHeight w:hRule="exact" w:val="58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ошибки в формулировках задач и заданий, допущенные составителями;</w:t>
            </w:r>
          </w:p>
        </w:tc>
      </w:tr>
      <w:tr>
        <w:trPr>
          <w:trHeight w:hRule="exact" w:val="49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нарушение преподавателем установленной в Университете процедуры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проведения Элемента контроля;</w:t>
      </w:r>
    </w:p>
    <w:p>
      <w:pPr>
        <w:autoSpaceDN w:val="0"/>
        <w:autoSpaceDE w:val="0"/>
        <w:widowControl/>
        <w:spacing w:line="240" w:lineRule="auto" w:before="26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обстоятельства, мешающие преподавателю объективно оценить работу.</w:t>
      </w:r>
    </w:p>
    <w:p>
      <w:pPr>
        <w:autoSpaceDN w:val="0"/>
        <w:autoSpaceDE w:val="0"/>
        <w:widowControl/>
        <w:spacing w:line="240" w:lineRule="auto" w:before="26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Неудовлетворенность студента полученной оценкой не может быть</w:t>
      </w:r>
    </w:p>
    <w:p>
      <w:pPr>
        <w:autoSpaceDN w:val="0"/>
        <w:autoSpaceDE w:val="0"/>
        <w:widowControl/>
        <w:spacing w:line="240" w:lineRule="auto" w:before="5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основанием для апелляции.</w:t>
      </w:r>
    </w:p>
    <w:p>
      <w:pPr>
        <w:autoSpaceDN w:val="0"/>
        <w:autoSpaceDE w:val="0"/>
        <w:widowControl/>
        <w:spacing w:line="240" w:lineRule="auto" w:before="262" w:after="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Академический руководитель вправе отказать в рассмотрении апелляции,</w:t>
      </w:r>
    </w:p>
    <w:p>
      <w:pPr>
        <w:autoSpaceDN w:val="0"/>
        <w:autoSpaceDE w:val="0"/>
        <w:widowControl/>
        <w:spacing w:line="240" w:lineRule="auto" w:before="66" w:after="200"/>
        <w:ind w:left="82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аргументировав студенту свой отказ в письменном виде на заявлении.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264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Форма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протокола заседания апелляционной комиссии.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9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4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Нормативные документы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4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Положение об организации промежуточной аттестации и текущего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8242300</wp:posOffset>
                  </wp:positionV>
                  <wp:extent cx="50927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6"/>
        </w:trPr>
        <w:tc>
          <w:tcPr>
            <w:tcW w:type="dxa" w:w="95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контроля успеваемости студентов Национального исследовательского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8496300</wp:posOffset>
                  </wp:positionV>
                  <wp:extent cx="52959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12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университета «Высшая школа экономики»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87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9982200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924560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21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16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Научные подразделения</w:t>
          </w:r>
        </w:hyperlink>
      </w:r>
    </w:p>
    <w:p>
      <w:pPr>
        <w:sectPr>
          <w:pgSz w:w="11918" w:h="16858"/>
          <w:pgMar w:top="330" w:right="828" w:bottom="4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1981200</wp:posOffset>
            </wp:positionV>
            <wp:extent cx="6877050" cy="4569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mirror/pubs/share/1089345719" TargetMode="External"/><Relationship Id="rId14" Type="http://schemas.openxmlformats.org/officeDocument/2006/relationships/hyperlink" Target="https://www.hse.ru/mirror/pubs/share/1048403618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www.hse.ru/org/hse/info/" TargetMode="External"/><Relationship Id="rId21" Type="http://schemas.openxmlformats.org/officeDocument/2006/relationships/hyperlink" Target="https://figures.hse.ru/" TargetMode="External"/><Relationship Id="rId22" Type="http://schemas.openxmlformats.org/officeDocument/2006/relationships/hyperlink" Target="https://www.hse.ru/orgstructure/" TargetMode="External"/><Relationship Id="rId23" Type="http://schemas.openxmlformats.org/officeDocument/2006/relationships/hyperlink" Target="https://sustainability.hse.ru/" TargetMode="External"/><Relationship Id="rId24" Type="http://schemas.openxmlformats.org/officeDocument/2006/relationships/hyperlink" Target="https://www.hse.ru/org/persons/" TargetMode="External"/><Relationship Id="rId25" Type="http://schemas.openxmlformats.org/officeDocument/2006/relationships/hyperlink" Target="https://www.hse.ru/buildinghse" TargetMode="External"/><Relationship Id="rId26" Type="http://schemas.openxmlformats.org/officeDocument/2006/relationships/hyperlink" Target="https://www.hse.ru/org/hse/aup/procurement/" TargetMode="External"/><Relationship Id="rId27" Type="http://schemas.openxmlformats.org/officeDocument/2006/relationships/hyperlink" Target="https://www.hse.ru/appeal/" TargetMode="External"/><Relationship Id="rId28" Type="http://schemas.openxmlformats.org/officeDocument/2006/relationships/hyperlink" Target="https://endowment.hse.ru/" TargetMode="External"/><Relationship Id="rId29" Type="http://schemas.openxmlformats.org/officeDocument/2006/relationships/hyperlink" Target="https://www.hse.ru/anticorruption" TargetMode="External"/><Relationship Id="rId30" Type="http://schemas.openxmlformats.org/officeDocument/2006/relationships/hyperlink" Target="https://www.hse.ru/anticorruption/information" TargetMode="External"/><Relationship Id="rId31" Type="http://schemas.openxmlformats.org/officeDocument/2006/relationships/hyperlink" Target="https://www.hse.ru/sveden/" TargetMode="External"/><Relationship Id="rId32" Type="http://schemas.openxmlformats.org/officeDocument/2006/relationships/hyperlink" Target="https://inclusive.hse.ru/" TargetMode="External"/><Relationship Id="rId33" Type="http://schemas.openxmlformats.org/officeDocument/2006/relationships/hyperlink" Target="https://pay.hse.ru/" TargetMode="External"/><Relationship Id="rId34" Type="http://schemas.openxmlformats.org/officeDocument/2006/relationships/hyperlink" Target="https://www.hse.ru/career" TargetMode="External"/><Relationship Id="rId35" Type="http://schemas.openxmlformats.org/officeDocument/2006/relationships/hyperlink" Target="https://www.hse.ru/education/" TargetMode="External"/><Relationship Id="rId36" Type="http://schemas.openxmlformats.org/officeDocument/2006/relationships/hyperlink" Target="https://school.hse.ru/" TargetMode="External"/><Relationship Id="rId37" Type="http://schemas.openxmlformats.org/officeDocument/2006/relationships/hyperlink" Target="https://fdp.hse.ru/" TargetMode="External"/><Relationship Id="rId38" Type="http://schemas.openxmlformats.org/officeDocument/2006/relationships/hyperlink" Target="https://olymp.hse.ru/" TargetMode="External"/><Relationship Id="rId39" Type="http://schemas.openxmlformats.org/officeDocument/2006/relationships/hyperlink" Target="https://ba.hse.ru/" TargetMode="External"/><Relationship Id="rId40" Type="http://schemas.openxmlformats.org/officeDocument/2006/relationships/hyperlink" Target="https://www.hse.ru/plus" TargetMode="External"/><Relationship Id="rId41" Type="http://schemas.openxmlformats.org/officeDocument/2006/relationships/hyperlink" Target="https://ma.hse.ru/" TargetMode="External"/><Relationship Id="rId42" Type="http://schemas.openxmlformats.org/officeDocument/2006/relationships/hyperlink" Target="https://aspirantura.hse.ru/" TargetMode="External"/><Relationship Id="rId43" Type="http://schemas.openxmlformats.org/officeDocument/2006/relationships/hyperlink" Target="https://busedu.hse.ru/" TargetMode="External"/><Relationship Id="rId44" Type="http://schemas.openxmlformats.org/officeDocument/2006/relationships/hyperlink" Target="https://career.hse.ru/" TargetMode="External"/><Relationship Id="rId45" Type="http://schemas.openxmlformats.org/officeDocument/2006/relationships/hyperlink" Target="http://inc.hse.ru/" TargetMode="External"/><Relationship Id="rId46" Type="http://schemas.openxmlformats.org/officeDocument/2006/relationships/hyperlink" Target="https://dd.hse.ru/" TargetMode="External"/><Relationship Id="rId47" Type="http://schemas.openxmlformats.org/officeDocument/2006/relationships/hyperlink" Target="https://www.hse.ru/feedback" TargetMode="External"/><Relationship Id="rId48" Type="http://schemas.openxmlformats.org/officeDocument/2006/relationships/hyperlink" Target="https://www.hse.ru/science/" TargetMode="External"/><Relationship Id="rId49" Type="http://schemas.openxmlformats.org/officeDocument/2006/relationships/hyperlink" Target="https://www.hse.ru/science/centers" TargetMode="External"/><Relationship Id="rId50" Type="http://schemas.openxmlformats.org/officeDocument/2006/relationships/hyperlink" Target="https://www.hse.ru/org/projects/" TargetMode="External"/><Relationship Id="rId51" Type="http://schemas.openxmlformats.org/officeDocument/2006/relationships/hyperlink" Target="https://www.hse.ru/monitoring/" TargetMode="External"/><Relationship Id="rId52" Type="http://schemas.openxmlformats.org/officeDocument/2006/relationships/hyperlink" Target="https://www.hse.ru/science/disscoun/" TargetMode="External"/><Relationship Id="rId53" Type="http://schemas.openxmlformats.org/officeDocument/2006/relationships/hyperlink" Target="https://aspirantura.hse.ru/defence/announcements/" TargetMode="External"/><Relationship Id="rId54" Type="http://schemas.openxmlformats.org/officeDocument/2006/relationships/hyperlink" Target="https://academics.hse.ru/" TargetMode="External"/><Relationship Id="rId55" Type="http://schemas.openxmlformats.org/officeDocument/2006/relationships/hyperlink" Target="https://www.hse.ru/science/hsegrants" TargetMode="External"/><Relationship Id="rId56" Type="http://schemas.openxmlformats.org/officeDocument/2006/relationships/hyperlink" Target="https://sezam.hse.ru/" TargetMode="External"/><Relationship Id="rId57" Type="http://schemas.openxmlformats.org/officeDocument/2006/relationships/hyperlink" Target="https://publications.hse.ru/" TargetMode="External"/><Relationship Id="rId58" Type="http://schemas.openxmlformats.org/officeDocument/2006/relationships/hyperlink" Target="https://library.hse.ru/" TargetMode="External"/><Relationship Id="rId59" Type="http://schemas.openxmlformats.org/officeDocument/2006/relationships/hyperlink" Target="https://id.hse.ru/" TargetMode="External"/><Relationship Id="rId60" Type="http://schemas.openxmlformats.org/officeDocument/2006/relationships/hyperlink" Target="https://bookshop.hse.ru/" TargetMode="External"/><Relationship Id="rId61" Type="http://schemas.openxmlformats.org/officeDocument/2006/relationships/hyperlink" Target="https://print.hse.ru/" TargetMode="External"/><Relationship Id="rId62" Type="http://schemas.openxmlformats.org/officeDocument/2006/relationships/hyperlink" Target="https://mc.hse.ru/" TargetMode="External"/><Relationship Id="rId63" Type="http://schemas.openxmlformats.org/officeDocument/2006/relationships/hyperlink" Target="https://www.hse.ru/science/journals" TargetMode="External"/><Relationship Id="rId64" Type="http://schemas.openxmlformats.org/officeDocument/2006/relationships/hyperlink" Target="http://www.minobrnauki.gov.ru/" TargetMode="External"/><Relationship Id="rId65" Type="http://schemas.openxmlformats.org/officeDocument/2006/relationships/hyperlink" Target="https://edu.gov.ru/" TargetMode="External"/><Relationship Id="rId66" Type="http://schemas.openxmlformats.org/officeDocument/2006/relationships/hyperlink" Target="http://www.edu.ru/" TargetMode="External"/><Relationship Id="rId67" Type="http://schemas.openxmlformats.org/officeDocument/2006/relationships/hyperlink" Target="https://elearning.hse.ru/mooc" TargetMode="External"/><Relationship Id="rId68" Type="http://schemas.openxmlformats.org/officeDocument/2006/relationships/hyperlink" Target="https://www.hse.ru/adm/edit/edit.html?goto=%2AL3N0dWR5c3ByYXZrYS9vY2Vua2lfaHNlP19yPTM2MjM4MjYxNzc1MDgyMDE2LjgyNzY0%5E&amp;id=612123430&amp;cid=20594&amp;addon_name=default&amp;newportal=1" TargetMode="External"/><Relationship Id="rId69" Type="http://schemas.openxmlformats.org/officeDocument/2006/relationships/hyperlink" Target="https://www.hse.ru/contacts.html" TargetMode="External"/><Relationship Id="rId70" Type="http://schemas.openxmlformats.org/officeDocument/2006/relationships/hyperlink" Target="https://www.hse.ru/copyright" TargetMode="External"/><Relationship Id="rId71" Type="http://schemas.openxmlformats.org/officeDocument/2006/relationships/hyperlink" Target="https://www.hse.ru/data_protection_regulation" TargetMode="External"/><Relationship Id="rId72" Type="http://schemas.openxmlformats.org/officeDocument/2006/relationships/hyperlink" Target="https://www.hse.ru/sitemap.html" TargetMode="External"/><Relationship Id="rId73" Type="http://schemas.openxmlformats.org/officeDocument/2006/relationships/hyperlink" Target="https://design.hse.ru/" TargetMode="External"/><Relationship Id="rId7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