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662" w:val="left"/>
        </w:tabs>
        <w:autoSpaceDE w:val="0"/>
        <w:widowControl/>
        <w:spacing w:line="240" w:lineRule="auto" w:before="198" w:after="0"/>
        <w:ind w:left="374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5" w:lineRule="auto" w:before="1446" w:after="534"/>
        <w:ind w:left="0" w:right="576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Отсрочка от службы в армии по учёбе для студентов</w:t>
      </w: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НИУ ВШЭ-Пермь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11"/>
        <w:gridCol w:w="3411"/>
        <w:gridCol w:w="3411"/>
      </w:tblGrid>
      <w:tr>
        <w:trPr>
          <w:trHeight w:hRule="exact" w:val="352"/>
        </w:trPr>
        <w:tc>
          <w:tcPr>
            <w:tcW w:type="dxa" w:w="1860"/>
            <w:tcBorders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rPr>
                <w:w w:val="98.52272380482067"/>
                <w:rFonts w:ascii="Segoe UI Semibold" w:hAnsi="Segoe UI Semibold" w:eastAsia="Segoe UI Semibold"/>
                <w:b/>
                <w:i w:val="0"/>
                <w:color w:val="000000"/>
                <w:sz w:val="22"/>
              </w:rPr>
              <w:t>НИУ ВШЭ-Москва</w:t>
            </w:r>
          </w:p>
        </w:tc>
        <w:tc>
          <w:tcPr>
            <w:tcW w:type="dxa" w:w="3208"/>
            <w:tcBorders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212" w:right="0" w:firstLine="0"/>
              <w:jc w:val="left"/>
            </w:pPr>
            <w:r>
              <w:rPr>
                <w:w w:val="98.52272380482067"/>
                <w:rFonts w:ascii="Segoe UI Semibold" w:hAnsi="Segoe UI Semibold" w:eastAsia="Segoe UI Semibold"/>
                <w:b/>
                <w:i w:val="0"/>
                <w:color w:val="000000"/>
                <w:sz w:val="22"/>
              </w:rPr>
              <w:t>НИУ ВШЭ-Нижний Новгород</w:t>
            </w:r>
          </w:p>
        </w:tc>
        <w:tc>
          <w:tcPr>
            <w:tcW w:type="dxa" w:w="2296"/>
            <w:tcBorders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374" w:right="0" w:firstLine="0"/>
              <w:jc w:val="left"/>
            </w:pPr>
            <w:r>
              <w:rPr>
                <w:w w:val="98.52272380482067"/>
                <w:rFonts w:ascii="Segoe UI Semibold" w:hAnsi="Segoe UI Semibold" w:eastAsia="Segoe UI Semibold"/>
                <w:b/>
                <w:i w:val="0"/>
                <w:color w:val="FFFFFF"/>
                <w:sz w:val="22"/>
              </w:rPr>
              <w:t>НИУ ВШЭ-Пермь</w:t>
            </w:r>
          </w:p>
        </w:tc>
      </w:tr>
    </w:tbl>
    <w:p>
      <w:pPr>
        <w:autoSpaceDN w:val="0"/>
        <w:autoSpaceDE w:val="0"/>
        <w:widowControl/>
        <w:spacing w:line="240" w:lineRule="auto" w:before="580" w:after="0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Условия предоставления отсрочки</w:t>
      </w:r>
    </w:p>
    <w:p>
      <w:pPr>
        <w:autoSpaceDN w:val="0"/>
        <w:autoSpaceDE w:val="0"/>
        <w:widowControl/>
        <w:spacing w:line="271" w:lineRule="auto" w:before="226" w:after="0"/>
        <w:ind w:left="0" w:right="57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Отсрочка от призыва граждан на военную службу предосталяется обучающимся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образовательных программ бакалавриата / магистратуры (если Вы поступили 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магистратуру сразу же после обучения в бакалавриате) / аспирантуры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по очной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форме обучения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. </w:t>
      </w:r>
    </w:p>
    <w:p>
      <w:pPr>
        <w:autoSpaceDN w:val="0"/>
        <w:autoSpaceDE w:val="0"/>
        <w:widowControl/>
        <w:spacing w:line="264" w:lineRule="auto" w:before="246" w:after="0"/>
        <w:ind w:left="0" w:right="57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Это регламентируется подпунктом «а» части 2 статьи 24 Федерального закона от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28.03.1998 № 53-ФЗ «О воинской обязанности и военной службе». </w:t>
      </w:r>
    </w:p>
    <w:p>
      <w:pPr>
        <w:autoSpaceDN w:val="0"/>
        <w:autoSpaceDE w:val="0"/>
        <w:widowControl/>
        <w:spacing w:line="257" w:lineRule="auto" w:before="262" w:after="0"/>
        <w:ind w:left="0" w:right="14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Если Вы обучаетесь в бакалавриате по очной форме обучения и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получили отсрочку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во время обучения в школе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, то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Ваша отсрочка сохраняется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57" w:lineRule="auto" w:before="262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Если Вы поступили в бакалавриат после обучения в СПО и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во время обучения в СПО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воспользовались правом на отсрочку, то Ваша отсрочка не сохраняется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40" w:lineRule="auto" w:before="570" w:after="0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Порядок получения справки для отсрочки от призыва</w:t>
      </w:r>
    </w:p>
    <w:p>
      <w:pPr>
        <w:autoSpaceDN w:val="0"/>
        <w:autoSpaceDE w:val="0"/>
        <w:widowControl/>
        <w:spacing w:line="264" w:lineRule="auto" w:before="242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Для получения справки необходимо обратиться в отдел кадров (ул. Студенческая, 38,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каб. 208), имея при себе паспорт и удостоверение гражданина, подлежащего призыву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 военную службу.</w:t>
      </w:r>
    </w:p>
    <w:p>
      <w:pPr>
        <w:autoSpaceDN w:val="0"/>
        <w:autoSpaceDE w:val="0"/>
        <w:widowControl/>
        <w:spacing w:line="274" w:lineRule="auto" w:before="262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Отдел кадров ежегодно, в период с сентября по октябрь включительно, представляет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военные комиссариаты, в которых обучающиеся, подлежащие воинскому учету,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состоят на воинском учете, справки для подтверждения права на отсрочку от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призыва на военную службу (согласно пункту 17(4) Положения о призыве на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военную службу граждан Российской Федерации, утвержденного постановлением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Правительства РФ от 11.11.2006 № 663).</w:t>
      </w:r>
    </w:p>
    <w:p>
      <w:pPr>
        <w:sectPr>
          <w:pgSz w:w="11918" w:h="16858"/>
          <w:pgMar w:top="438" w:right="828" w:bottom="336" w:left="8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742950</wp:posOffset>
            </wp:positionH>
            <wp:positionV relativeFrom="page">
              <wp:posOffset>2656840</wp:posOffset>
            </wp:positionV>
            <wp:extent cx="190500" cy="1905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2095500</wp:posOffset>
            </wp:positionV>
            <wp:extent cx="6502400" cy="10541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1054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7" w:lineRule="auto" w:before="0" w:after="0"/>
        <w:ind w:left="0" w:right="72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Обучающиеся, не достигшие 18 лет, получают справки по мере необходимости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предоставления их в военные комиссариаты.</w:t>
      </w:r>
    </w:p>
    <w:p>
      <w:pPr>
        <w:autoSpaceDN w:val="0"/>
        <w:autoSpaceDE w:val="0"/>
        <w:widowControl/>
        <w:spacing w:line="245" w:lineRule="auto" w:before="704" w:after="660"/>
        <w:ind w:left="0" w:right="1296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Информация о постановке на воинский учет студентов,</w:t>
      </w: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поступивших до 2024 года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11"/>
        <w:gridCol w:w="3411"/>
        <w:gridCol w:w="3411"/>
      </w:tblGrid>
      <w:tr>
        <w:trPr>
          <w:trHeight w:hRule="exact" w:val="1596"/>
        </w:trPr>
        <w:tc>
          <w:tcPr>
            <w:tcW w:type="dxa" w:w="84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>Студенты, подлежащие воинскому учёту в НИУ ВШЭ</w:t>
            </w:r>
          </w:p>
        </w:tc>
        <w:tc>
          <w:tcPr>
            <w:tcW w:type="dxa" w:w="1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18"/>
              </w:rPr>
              <w:t>свернуть все</w:t>
            </w:r>
          </w:p>
        </w:tc>
      </w:tr>
      <w:tr>
        <w:trPr>
          <w:trHeight w:hRule="exact" w:val="1274"/>
        </w:trPr>
        <w:tc>
          <w:tcPr>
            <w:tcW w:type="dxa" w:w="4764"/>
            <w:tcBorders/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14" w:after="0"/>
              <w:ind w:left="300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 xml:space="preserve">Постановка на воинский учёт </w:t>
            </w:r>
          </w:p>
        </w:tc>
        <w:tc>
          <w:tcPr>
            <w:tcW w:type="dxa" w:w="3660"/>
            <w:tcBorders/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10" w:after="0"/>
              <w:ind w:left="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3571240</wp:posOffset>
                  </wp:positionH>
                  <wp:positionV relativeFrom="page">
                    <wp:posOffset>3657600</wp:posOffset>
                  </wp:positionV>
                  <wp:extent cx="190500" cy="190500"/>
                  <wp:wrapNone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1790"/>
            <w:tcBorders/>
            <w:shd w:fill="f5f5f5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7"/>
        <w:gridCol w:w="5117"/>
      </w:tblGrid>
      <w:tr>
        <w:trPr>
          <w:trHeight w:hRule="exact" w:val="1276"/>
        </w:trPr>
        <w:tc>
          <w:tcPr>
            <w:tcW w:type="dxa" w:w="8104"/>
            <w:tcBorders/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16" w:after="0"/>
              <w:ind w:left="300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 xml:space="preserve">Отсрочка при обучении в пятилетнем бакалавриате </w:t>
            </w:r>
          </w:p>
        </w:tc>
        <w:tc>
          <w:tcPr>
            <w:tcW w:type="dxa" w:w="2110"/>
            <w:tcBorders/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12" w:after="0"/>
              <w:ind w:left="1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5695950</wp:posOffset>
                  </wp:positionH>
                  <wp:positionV relativeFrom="page">
                    <wp:posOffset>4658360</wp:posOffset>
                  </wp:positionV>
                  <wp:extent cx="190500" cy="190500"/>
                  <wp:wrapNone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3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7"/>
        <w:gridCol w:w="5117"/>
      </w:tblGrid>
      <w:tr>
        <w:trPr>
          <w:trHeight w:hRule="exact" w:val="1260"/>
        </w:trPr>
        <w:tc>
          <w:tcPr>
            <w:tcW w:type="dxa" w:w="9464"/>
            <w:tcBorders/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14" w:after="0"/>
              <w:ind w:left="300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 xml:space="preserve">Сохраняется ли отсрочка при уходе в академический отпуск? </w:t>
            </w:r>
          </w:p>
        </w:tc>
        <w:tc>
          <w:tcPr>
            <w:tcW w:type="dxa" w:w="750"/>
            <w:tcBorders/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10" w:after="0"/>
              <w:ind w:left="16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6563359</wp:posOffset>
                  </wp:positionH>
                  <wp:positionV relativeFrom="page">
                    <wp:posOffset>5657850</wp:posOffset>
                  </wp:positionV>
                  <wp:extent cx="190500" cy="190500"/>
                  <wp:wrapNone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3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7"/>
        <w:gridCol w:w="5117"/>
      </w:tblGrid>
      <w:tr>
        <w:trPr>
          <w:trHeight w:hRule="exact" w:val="1184"/>
        </w:trPr>
        <w:tc>
          <w:tcPr>
            <w:tcW w:type="dxa" w:w="10214"/>
            <w:gridSpan w:val="2"/>
            <w:tcBorders/>
            <w:shd w:fill="f5f5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94" w:after="0"/>
              <w:ind w:left="300" w:right="432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>Является ли перенос</w:t>
            </w:r>
            <w:r>
              <w:rPr>
                <w:u w:val="single" w:color="0079c4"/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 xml:space="preserve"> </w:t>
            </w: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>второй</w:t>
            </w:r>
            <w:r>
              <w:rPr>
                <w:u w:val="single" w:color="0079c4"/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 xml:space="preserve"> </w:t>
            </w: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>пересдачи дисциплины и ее</w:t>
            </w: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>повторное изучение основанием для предоставления студенту</w:t>
            </w:r>
          </w:p>
        </w:tc>
      </w:tr>
      <w:tr>
        <w:trPr>
          <w:trHeight w:hRule="exact" w:val="840"/>
        </w:trPr>
        <w:tc>
          <w:tcPr>
            <w:tcW w:type="dxa" w:w="5284"/>
            <w:tcBorders/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00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 xml:space="preserve">дополнительного года отсрочки? </w:t>
            </w:r>
          </w:p>
        </w:tc>
        <w:tc>
          <w:tcPr>
            <w:tcW w:type="dxa" w:w="4930"/>
            <w:tcBorders/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1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3905250</wp:posOffset>
                  </wp:positionH>
                  <wp:positionV relativeFrom="page">
                    <wp:posOffset>7124700</wp:posOffset>
                  </wp:positionV>
                  <wp:extent cx="190500" cy="190500"/>
                  <wp:wrapNone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3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7"/>
        <w:gridCol w:w="5117"/>
      </w:tblGrid>
      <w:tr>
        <w:trPr>
          <w:trHeight w:hRule="exact" w:val="810"/>
        </w:trPr>
        <w:tc>
          <w:tcPr>
            <w:tcW w:type="dxa" w:w="10214"/>
            <w:gridSpan w:val="2"/>
            <w:tcBorders/>
            <w:shd w:fill="f5f5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96" w:after="0"/>
              <w:ind w:left="300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>Процедура предоставления отсрочки студентам магистратуры,</w:t>
            </w:r>
          </w:p>
        </w:tc>
      </w:tr>
      <w:tr>
        <w:trPr>
          <w:trHeight w:hRule="exact" w:val="842"/>
        </w:trPr>
        <w:tc>
          <w:tcPr>
            <w:tcW w:type="dxa" w:w="6164"/>
            <w:tcBorders/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00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>окончившим обучение в бакалавриате</w:t>
            </w: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 xml:space="preserve"> </w:t>
            </w:r>
          </w:p>
        </w:tc>
        <w:tc>
          <w:tcPr>
            <w:tcW w:type="dxa" w:w="4050"/>
            <w:tcBorders/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16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4467860</wp:posOffset>
                  </wp:positionH>
                  <wp:positionV relativeFrom="page">
                    <wp:posOffset>8362950</wp:posOffset>
                  </wp:positionV>
                  <wp:extent cx="190500" cy="190500"/>
                  <wp:wrapNone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3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7"/>
        <w:gridCol w:w="5117"/>
      </w:tblGrid>
      <w:tr>
        <w:trPr>
          <w:trHeight w:hRule="exact" w:val="1254"/>
        </w:trPr>
        <w:tc>
          <w:tcPr>
            <w:tcW w:type="dxa" w:w="8724"/>
            <w:tcBorders/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14" w:after="0"/>
              <w:ind w:left="300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 xml:space="preserve">Дают ли последипломные каникулы право на отсрочку? </w:t>
            </w:r>
          </w:p>
        </w:tc>
        <w:tc>
          <w:tcPr>
            <w:tcW w:type="dxa" w:w="1490"/>
            <w:tcBorders/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8" w:after="0"/>
              <w:ind w:left="2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6096000</wp:posOffset>
                  </wp:positionH>
                  <wp:positionV relativeFrom="page">
                    <wp:posOffset>9362440</wp:posOffset>
                  </wp:positionV>
                  <wp:extent cx="190500" cy="190500"/>
                  <wp:wrapNone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350" w:right="828" w:bottom="674" w:left="8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99.99999999999994" w:type="dxa"/>
      </w:tblPr>
      <w:tblGrid>
        <w:gridCol w:w="5410"/>
        <w:gridCol w:w="5410"/>
      </w:tblGrid>
      <w:tr>
        <w:trPr>
          <w:trHeight w:hRule="exact" w:val="808"/>
        </w:trPr>
        <w:tc>
          <w:tcPr>
            <w:tcW w:type="dxa" w:w="1021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214"/>
            </w:tblGrid>
            <w:tr>
              <w:trPr>
                <w:trHeight w:hRule="exact" w:val="798"/>
              </w:trPr>
              <w:tc>
                <w:tcPr>
                  <w:tcW w:type="dxa" w:w="10214"/>
                  <w:tcBorders/>
                  <w:shd w:fill="f5f5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04" w:after="0"/>
                    <w:ind w:left="300" w:right="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7AC5"/>
                      <w:sz w:val="31"/>
                    </w:rPr>
                    <w:t>Основные условия предоставления отсрочки от службы в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840"/>
        </w:trPr>
        <w:tc>
          <w:tcPr>
            <w:tcW w:type="dxa" w:w="13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00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>армии</w:t>
            </w: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 xml:space="preserve"> </w:t>
            </w:r>
          </w:p>
        </w:tc>
        <w:tc>
          <w:tcPr>
            <w:tcW w:type="dxa" w:w="88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2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1399540</wp:posOffset>
                  </wp:positionH>
                  <wp:positionV relativeFrom="page">
                    <wp:posOffset>990600</wp:posOffset>
                  </wp:positionV>
                  <wp:extent cx="190500" cy="190500"/>
                  <wp:wrapNone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828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Контакты</w:t>
      </w:r>
    </w:p>
    <w:p>
      <w:pPr>
        <w:autoSpaceDN w:val="0"/>
        <w:autoSpaceDE w:val="0"/>
        <w:widowControl/>
        <w:spacing w:line="257" w:lineRule="auto" w:before="226" w:after="0"/>
        <w:ind w:left="300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 вопросам обращаться в Отдел кадров (ул. Студенческая, 38 каб. 208) тел. 205-52-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32</w:t>
      </w:r>
    </w:p>
    <w:p>
      <w:pPr>
        <w:autoSpaceDN w:val="0"/>
        <w:autoSpaceDE w:val="0"/>
        <w:widowControl/>
        <w:spacing w:line="240" w:lineRule="auto" w:before="570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Документы</w:t>
      </w:r>
    </w:p>
    <w:p>
      <w:pPr>
        <w:autoSpaceDN w:val="0"/>
        <w:autoSpaceDE w:val="0"/>
        <w:widowControl/>
        <w:spacing w:line="240" w:lineRule="auto" w:before="242" w:after="0"/>
        <w:ind w:left="300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4" w:history="1">
          <w:r>
            <w:rPr>
              <w:rStyle w:val="Hyperlink"/>
            </w:rPr>
            <w:t>Порядок воинского учета в НИУ ВШЭ - Пермь</w:t>
          </w:r>
        </w:hyperlink>
      </w:r>
    </w:p>
    <w:p>
      <w:pPr>
        <w:autoSpaceDN w:val="0"/>
        <w:autoSpaceDE w:val="0"/>
        <w:widowControl/>
        <w:spacing w:line="240" w:lineRule="auto" w:before="1202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4660900</wp:posOffset>
            </wp:positionV>
            <wp:extent cx="508000" cy="2413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5041900</wp:posOffset>
            </wp:positionV>
            <wp:extent cx="1346200" cy="3175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90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5543550</wp:posOffset>
            </wp:positionV>
            <wp:extent cx="228600" cy="2286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52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36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58" w:lineRule="auto" w:before="978" w:after="0"/>
        <w:ind w:left="300" w:right="2448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18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9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0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1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2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3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4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5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6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7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8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9" w:history="1">
          <w:r>
            <w:rPr>
              <w:rStyle w:val="Hyperlink"/>
            </w:rPr>
            <w:t>Сведения об образовательной организации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6762750</wp:posOffset>
            </wp:positionV>
            <wp:extent cx="6877050" cy="3516277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351627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18" w:after="0"/>
        <w:ind w:left="300" w:right="5904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0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1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2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60" w:lineRule="auto" w:before="200" w:after="0"/>
        <w:ind w:left="300" w:right="5472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33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648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46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9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0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1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50" w:lineRule="auto" w:before="186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5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43" w:lineRule="auto" w:before="200" w:after="0"/>
        <w:ind w:left="300" w:right="604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Массовые открытые онлайн-курсы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420370</wp:posOffset>
            </wp:positionV>
            <wp:extent cx="6877050" cy="1066308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106630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auto" w:before="138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AAAAAA"/>
          <w:sz w:val="15"/>
        </w:rPr>
        <w:hyperlink r:id="rId67" w:history="1">
          <w:r>
            <w:rPr>
              <w:rStyle w:val="Hyperlink"/>
            </w:rPr>
            <w:t>Редактору</w:t>
          </w:r>
        </w:hyperlink>
      </w:r>
    </w:p>
    <w:p>
      <w:pPr>
        <w:autoSpaceDN w:val="0"/>
        <w:autoSpaceDE w:val="0"/>
        <w:widowControl/>
        <w:spacing w:line="269" w:lineRule="auto" w:before="72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0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1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2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yperlink" Target="https://www.hse.ru/docs/1076660905.html" TargetMode="External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hyperlink" Target="https://www.hse.ru/org/hse/info/" TargetMode="External"/><Relationship Id="rId19" Type="http://schemas.openxmlformats.org/officeDocument/2006/relationships/hyperlink" Target="https://figures.hse.ru/" TargetMode="External"/><Relationship Id="rId20" Type="http://schemas.openxmlformats.org/officeDocument/2006/relationships/hyperlink" Target="https://www.hse.ru/orgstructure/" TargetMode="External"/><Relationship Id="rId21" Type="http://schemas.openxmlformats.org/officeDocument/2006/relationships/hyperlink" Target="https://sustainability.hse.ru/" TargetMode="External"/><Relationship Id="rId22" Type="http://schemas.openxmlformats.org/officeDocument/2006/relationships/hyperlink" Target="https://www.hse.ru/org/persons/" TargetMode="External"/><Relationship Id="rId23" Type="http://schemas.openxmlformats.org/officeDocument/2006/relationships/hyperlink" Target="https://www.hse.ru/buildinghse" TargetMode="External"/><Relationship Id="rId24" Type="http://schemas.openxmlformats.org/officeDocument/2006/relationships/hyperlink" Target="https://www.hse.ru/org/hse/aup/procurement/" TargetMode="External"/><Relationship Id="rId25" Type="http://schemas.openxmlformats.org/officeDocument/2006/relationships/hyperlink" Target="https://www.hse.ru/appeal/" TargetMode="External"/><Relationship Id="rId26" Type="http://schemas.openxmlformats.org/officeDocument/2006/relationships/hyperlink" Target="https://endowment.hse.ru/" TargetMode="External"/><Relationship Id="rId27" Type="http://schemas.openxmlformats.org/officeDocument/2006/relationships/hyperlink" Target="https://www.hse.ru/anticorruption" TargetMode="External"/><Relationship Id="rId28" Type="http://schemas.openxmlformats.org/officeDocument/2006/relationships/hyperlink" Target="https://www.hse.ru/anticorruption/information" TargetMode="External"/><Relationship Id="rId29" Type="http://schemas.openxmlformats.org/officeDocument/2006/relationships/hyperlink" Target="https://www.hse.ru/sveden/" TargetMode="External"/><Relationship Id="rId30" Type="http://schemas.openxmlformats.org/officeDocument/2006/relationships/hyperlink" Target="https://inclusive.hse.ru/" TargetMode="External"/><Relationship Id="rId31" Type="http://schemas.openxmlformats.org/officeDocument/2006/relationships/hyperlink" Target="https://pay.hse.ru/" TargetMode="External"/><Relationship Id="rId32" Type="http://schemas.openxmlformats.org/officeDocument/2006/relationships/hyperlink" Target="https://www.hse.ru/career" TargetMode="External"/><Relationship Id="rId33" Type="http://schemas.openxmlformats.org/officeDocument/2006/relationships/hyperlink" Target="https://www.hse.ru/education/" TargetMode="External"/><Relationship Id="rId34" Type="http://schemas.openxmlformats.org/officeDocument/2006/relationships/hyperlink" Target="https://school.hse.ru/" TargetMode="External"/><Relationship Id="rId35" Type="http://schemas.openxmlformats.org/officeDocument/2006/relationships/hyperlink" Target="https://fdp.hse.ru/" TargetMode="External"/><Relationship Id="rId36" Type="http://schemas.openxmlformats.org/officeDocument/2006/relationships/hyperlink" Target="https://olymp.hse.ru/" TargetMode="External"/><Relationship Id="rId37" Type="http://schemas.openxmlformats.org/officeDocument/2006/relationships/hyperlink" Target="https://ba.hse.ru/" TargetMode="External"/><Relationship Id="rId38" Type="http://schemas.openxmlformats.org/officeDocument/2006/relationships/hyperlink" Target="https://www.hse.ru/plus" TargetMode="External"/><Relationship Id="rId39" Type="http://schemas.openxmlformats.org/officeDocument/2006/relationships/hyperlink" Target="https://ma.hse.ru/" TargetMode="External"/><Relationship Id="rId40" Type="http://schemas.openxmlformats.org/officeDocument/2006/relationships/hyperlink" Target="https://aspirantura.hse.ru/" TargetMode="External"/><Relationship Id="rId41" Type="http://schemas.openxmlformats.org/officeDocument/2006/relationships/hyperlink" Target="https://busedu.hse.ru/" TargetMode="External"/><Relationship Id="rId42" Type="http://schemas.openxmlformats.org/officeDocument/2006/relationships/hyperlink" Target="https://career.hse.ru/" TargetMode="External"/><Relationship Id="rId43" Type="http://schemas.openxmlformats.org/officeDocument/2006/relationships/hyperlink" Target="http://inc.hse.ru/" TargetMode="External"/><Relationship Id="rId44" Type="http://schemas.openxmlformats.org/officeDocument/2006/relationships/hyperlink" Target="https://dd.hse.ru/" TargetMode="External"/><Relationship Id="rId45" Type="http://schemas.openxmlformats.org/officeDocument/2006/relationships/hyperlink" Target="https://www.hse.ru/feedback" TargetMode="External"/><Relationship Id="rId46" Type="http://schemas.openxmlformats.org/officeDocument/2006/relationships/hyperlink" Target="https://www.hse.ru/science/" TargetMode="External"/><Relationship Id="rId47" Type="http://schemas.openxmlformats.org/officeDocument/2006/relationships/hyperlink" Target="https://www.hse.ru/science/centers" TargetMode="External"/><Relationship Id="rId48" Type="http://schemas.openxmlformats.org/officeDocument/2006/relationships/hyperlink" Target="https://www.hse.ru/org/projects/" TargetMode="External"/><Relationship Id="rId49" Type="http://schemas.openxmlformats.org/officeDocument/2006/relationships/hyperlink" Target="https://www.hse.ru/monitoring/" TargetMode="External"/><Relationship Id="rId50" Type="http://schemas.openxmlformats.org/officeDocument/2006/relationships/hyperlink" Target="https://www.hse.ru/science/disscoun/" TargetMode="External"/><Relationship Id="rId51" Type="http://schemas.openxmlformats.org/officeDocument/2006/relationships/hyperlink" Target="https://aspirantura.hse.ru/defence/announcements/" TargetMode="External"/><Relationship Id="rId52" Type="http://schemas.openxmlformats.org/officeDocument/2006/relationships/hyperlink" Target="https://academics.hse.ru/" TargetMode="External"/><Relationship Id="rId53" Type="http://schemas.openxmlformats.org/officeDocument/2006/relationships/hyperlink" Target="https://www.hse.ru/science/hsegrants" TargetMode="External"/><Relationship Id="rId54" Type="http://schemas.openxmlformats.org/officeDocument/2006/relationships/hyperlink" Target="https://sezam.hse.ru/" TargetMode="External"/><Relationship Id="rId55" Type="http://schemas.openxmlformats.org/officeDocument/2006/relationships/hyperlink" Target="https://publications.hse.ru/" TargetMode="External"/><Relationship Id="rId56" Type="http://schemas.openxmlformats.org/officeDocument/2006/relationships/hyperlink" Target="https://library.hse.ru/" TargetMode="External"/><Relationship Id="rId57" Type="http://schemas.openxmlformats.org/officeDocument/2006/relationships/hyperlink" Target="https://id.hse.ru/" TargetMode="External"/><Relationship Id="rId58" Type="http://schemas.openxmlformats.org/officeDocument/2006/relationships/hyperlink" Target="https://bookshop.hse.ru/" TargetMode="External"/><Relationship Id="rId59" Type="http://schemas.openxmlformats.org/officeDocument/2006/relationships/hyperlink" Target="https://print.hse.ru/" TargetMode="External"/><Relationship Id="rId60" Type="http://schemas.openxmlformats.org/officeDocument/2006/relationships/hyperlink" Target="https://mc.hse.ru/" TargetMode="External"/><Relationship Id="rId61" Type="http://schemas.openxmlformats.org/officeDocument/2006/relationships/hyperlink" Target="https://www.hse.ru/science/journals" TargetMode="External"/><Relationship Id="rId62" Type="http://schemas.openxmlformats.org/officeDocument/2006/relationships/hyperlink" Target="http://www.minobrnauki.gov.ru/" TargetMode="External"/><Relationship Id="rId63" Type="http://schemas.openxmlformats.org/officeDocument/2006/relationships/hyperlink" Target="https://edu.gov.ru/" TargetMode="External"/><Relationship Id="rId64" Type="http://schemas.openxmlformats.org/officeDocument/2006/relationships/hyperlink" Target="http://www.edu.ru/" TargetMode="External"/><Relationship Id="rId65" Type="http://schemas.openxmlformats.org/officeDocument/2006/relationships/hyperlink" Target="https://elearning.hse.ru/mooc" TargetMode="External"/><Relationship Id="rId66" Type="http://schemas.openxmlformats.org/officeDocument/2006/relationships/image" Target="media/image7.png"/><Relationship Id="rId67" Type="http://schemas.openxmlformats.org/officeDocument/2006/relationships/hyperlink" Target="https://www.hse.ru/adm/edit/edit.html?goto=%2AL3N0dWR5c3ByYXZrYS9vdHNyb2Noa2FfcD9fcj0zNjI0MTc3MTc3NTA4MjI1NS42MzkxNQ%3D%3D%5E&amp;id=1070711809&amp;cid=20594&amp;addon_name=default&amp;newportal=1" TargetMode="External"/><Relationship Id="rId68" Type="http://schemas.openxmlformats.org/officeDocument/2006/relationships/hyperlink" Target="https://www.hse.ru/contacts.html" TargetMode="External"/><Relationship Id="rId69" Type="http://schemas.openxmlformats.org/officeDocument/2006/relationships/hyperlink" Target="https://www.hse.ru/copyright" TargetMode="External"/><Relationship Id="rId70" Type="http://schemas.openxmlformats.org/officeDocument/2006/relationships/hyperlink" Target="https://www.hse.ru/data_protection_regulation" TargetMode="External"/><Relationship Id="rId71" Type="http://schemas.openxmlformats.org/officeDocument/2006/relationships/hyperlink" Target="https://www.hse.ru/sitemap.html" TargetMode="External"/><Relationship Id="rId72" Type="http://schemas.openxmlformats.org/officeDocument/2006/relationships/hyperlink" Target="https://design.hse.ru/" TargetMode="External"/><Relationship Id="rId73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