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Плагиат в письменных работах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Процедура проверки письменных учебных работ студентов на плагиат в</w:t>
            </w:r>
          </w:p>
        </w:tc>
      </w:tr>
    </w:tbl>
    <w:p>
      <w:pPr>
        <w:autoSpaceDN w:val="0"/>
        <w:autoSpaceDE w:val="0"/>
        <w:widowControl/>
        <w:spacing w:line="266" w:lineRule="auto" w:before="18" w:after="0"/>
        <w:ind w:left="828" w:right="72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НИУ ВШЭ регулируется </w:t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Регламентом организации проверки письменных</w:t>
          </w:r>
        </w:hyperlink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учебных работ на наличие плагиата, использования генеративных моделей и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размещения выпускных квалификационных работ обучающихся по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4457700</wp:posOffset>
            </wp:positionV>
            <wp:extent cx="50800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" w:after="32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программам бакалавриата, специалитета и магистратуры на корпоративном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сайте (портале) НИУ ВШЭ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4965700</wp:posOffset>
                  </wp:positionV>
                  <wp:extent cx="19177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относится к письменным работам?</w:t>
            </w:r>
          </w:p>
        </w:tc>
      </w:tr>
    </w:tbl>
    <w:p>
      <w:pPr>
        <w:autoSpaceDN w:val="0"/>
        <w:autoSpaceDE w:val="0"/>
        <w:widowControl/>
        <w:spacing w:line="271" w:lineRule="auto" w:before="148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письменным учебным работам относятся все письменные работы,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выполняемые обучающимися в ходе текущего, промежуточного и итогового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 знаний в соответствии с программой учебной дисциплины,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в ходе итоговой аттестации. Они включают домашние задания,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рефераты, эссе, контрольные работы, письменные работы, выполняемые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экзаменах, курсовые и выпускные квалификационные работы. </w:t>
      </w:r>
    </w:p>
    <w:p>
      <w:pPr>
        <w:autoSpaceDN w:val="0"/>
        <w:autoSpaceDE w:val="0"/>
        <w:widowControl/>
        <w:spacing w:line="264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учебные работы должны выполняться обучающимися самостоятельно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это регламентируется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Правилами внутреннего распорядка обучающихся</w:t>
          </w:r>
        </w:hyperlink>
      </w:r>
    </w:p>
    <w:p>
      <w:pPr>
        <w:autoSpaceDN w:val="0"/>
        <w:autoSpaceDE w:val="0"/>
        <w:widowControl/>
        <w:spacing w:line="240" w:lineRule="auto" w:before="0" w:after="16"/>
        <w:ind w:left="0" w:right="10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8648700</wp:posOffset>
            </wp:positionV>
            <wp:extent cx="38227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8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такое плагиат?</w:t>
            </w:r>
          </w:p>
        </w:tc>
      </w:tr>
    </w:tbl>
    <w:p>
      <w:pPr>
        <w:autoSpaceDN w:val="0"/>
        <w:autoSpaceDE w:val="0"/>
        <w:widowControl/>
        <w:spacing w:line="274" w:lineRule="auto" w:before="146" w:after="20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Плагиат — это использование в письменной работе чужого текста или иного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объекта авторских прав, опубликованного в бумажном или электронном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виде, без полной ссылки (без указания имени автора и источника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заимствования) или со ссылками, но так, что объем и характер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заимствований ставят под сомнение самостоятельность выполненной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или одного из ее основных разделов.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526"/>
        </w:trPr>
        <w:tc>
          <w:tcPr>
            <w:tcW w:type="dxa" w:w="9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Существует три вида плагиата:</w:t>
            </w:r>
          </w:p>
        </w:tc>
      </w:tr>
      <w:tr>
        <w:trPr>
          <w:trHeight w:hRule="exact" w:val="58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дословное изложение чужого текста;</w:t>
            </w:r>
          </w:p>
        </w:tc>
      </w:tr>
      <w:tr>
        <w:trPr>
          <w:trHeight w:hRule="exact" w:val="60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полное использование иного объекта авторских прав;</w:t>
            </w:r>
          </w:p>
        </w:tc>
      </w:tr>
      <w:tr>
        <w:trPr>
          <w:trHeight w:hRule="exact" w:val="488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парафраз – изложение чужого текста с заменой слов и выражений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без изменения содержания заимствованного текста.</w:t>
      </w:r>
    </w:p>
    <w:p>
      <w:pPr>
        <w:autoSpaceDN w:val="0"/>
        <w:autoSpaceDE w:val="0"/>
        <w:widowControl/>
        <w:spacing w:line="240" w:lineRule="auto" w:before="26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нарушения академических норм применяются следующие меры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7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дисциплинарных взысканий:</w:t>
            </w:r>
          </w:p>
        </w:tc>
      </w:tr>
      <w:tr>
        <w:trPr>
          <w:trHeight w:hRule="exact" w:val="60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замечание;</w:t>
            </w:r>
          </w:p>
        </w:tc>
      </w:tr>
      <w:tr>
        <w:trPr>
          <w:trHeight w:hRule="exact" w:val="58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выговор;</w:t>
            </w:r>
          </w:p>
        </w:tc>
      </w:tr>
      <w:tr>
        <w:trPr>
          <w:trHeight w:hRule="exact" w:val="534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отчисление.</w:t>
            </w:r>
          </w:p>
        </w:tc>
      </w:tr>
    </w:tbl>
    <w:p>
      <w:pPr>
        <w:autoSpaceDN w:val="0"/>
        <w:autoSpaceDE w:val="0"/>
        <w:widowControl/>
        <w:spacing w:line="274" w:lineRule="auto" w:before="20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Отчисление как мера дисциплинарного взыскания может применяться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обучающемуся по инициативе университета в случае, если обучающийся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допустил нарушения академических норм как до выхода на итоговую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аттестацию, так и после выхода на итоговую аттестацию, в том числе 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время проведения защиты ВКР.</w:t>
      </w:r>
    </w:p>
    <w:p>
      <w:pPr>
        <w:autoSpaceDN w:val="0"/>
        <w:autoSpaceDE w:val="0"/>
        <w:widowControl/>
        <w:spacing w:line="240" w:lineRule="auto" w:before="260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Особенности и процедура применения дисциплинарных взысканий описаны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Правилах внутреннего распорядка обучающихся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7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197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О проверке на плагиат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828" w:right="1350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НИУ ВШЭ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обязательными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 проверке на плагиат относятся следующие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работы: курсовые работы, выпускные квалификационные работы и текст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предзащиты ВКР на английском языке (Project Proposal).</w:t>
      </w:r>
    </w:p>
    <w:p>
      <w:pPr>
        <w:autoSpaceDN w:val="0"/>
        <w:autoSpaceDE w:val="0"/>
        <w:widowControl/>
        <w:spacing w:line="274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Проверка на плагиат осуществляется посредством загрузки работы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установленные образовательной программой / факультетом. Требования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формату и названию загружаемого файла, составлению аннотации к ВКР,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размещения аннотаций и полного текста ВКР в электронном виде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портале НИУ ВШЭ доступны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Регламенте организации проверки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письменных учебных работ на наличие плагиата, использования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генеративных моделей и размещения выпускных квалификационных работ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обучающихся по программам бакалавриата, специалитета и магистратуры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на корпоративном сайте (портале)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Проверка на плагиат письменных домашних заданий, рефератов, эссе,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контрольных работ с целью оценки уровня заимствований осуществляется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желанию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преподавателя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2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могут использовать технологии генеративных моделей (текста,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программного кода, изображения и прочее) в процессе выполнения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работ (письменных или устных) с обязательным указанием 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 описанием этого:</w:t>
      </w:r>
    </w:p>
    <w:p>
      <w:pPr>
        <w:autoSpaceDN w:val="0"/>
        <w:autoSpaceDE w:val="0"/>
        <w:widowControl/>
        <w:spacing w:line="274" w:lineRule="auto" w:before="260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загрузке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курсовых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выпускных квалификационных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работ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общеуниверситетские сервисы, студент обязан заявить о целях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ИИ с указанием конкретной технологии и оценки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успешности ее применения в специальных полях.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Инструкция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 загрузке работ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содержит описание того, как и где именно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студент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должен сообщить об использовании искусственного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интеллекта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Система проверки работ на недопустимые заимствования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использует плагин для распознавания сгенерированных текстов.</w:t>
      </w:r>
    </w:p>
    <w:p>
      <w:pPr>
        <w:autoSpaceDN w:val="0"/>
        <w:autoSpaceDE w:val="0"/>
        <w:widowControl/>
        <w:spacing w:line="274" w:lineRule="auto" w:before="246" w:after="32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иных видах учебных работ, при использовании генеративных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моделей при написании работ, студент/ группа студентов обязан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сопроводить задание специальным разделом «Описание применения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генеративной модели» с описанием целей применения, названия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конкретной модели, адреса ее сайта в интернете (либо описания иного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источника модели), и способа ее применения. Преподаватель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оценку “0” за работу, в которой он усматривает признаки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9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применения ИИ без отдельного уведомления студента об этом в своей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работе. Либо, если использование ИИ было явно запрещено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2"/>
        </w:trPr>
        <w:tc>
          <w:tcPr>
            <w:tcW w:type="dxa" w:w="9150"/>
            <w:tcBorders>
              <w:bottom w:sz="5.600000000000023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преподавателем.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Использование генеративных моделей без указания на это установленным образом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0"/>
        </w:trPr>
        <w:tc>
          <w:tcPr>
            <w:tcW w:type="dxa" w:w="7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является нарушением академических норм.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0"/>
        </w:trPr>
        <w:tc>
          <w:tcPr>
            <w:tcW w:type="dxa" w:w="95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В случае выявления несоответствия загруженного в систему студентом файла ВКР</w:t>
            </w:r>
          </w:p>
        </w:tc>
      </w:tr>
    </w:tbl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shd w:val="clear" w:color="auto" w:fill="000095"/>
          <w:w w:val="98.52272380482067"/>
          <w:rFonts w:ascii="Segoe UI" w:hAnsi="Segoe UI" w:eastAsia="Segoe UI"/>
          <w:b w:val="0"/>
          <w:i w:val="0"/>
          <w:color w:val="696969"/>
          <w:sz w:val="22"/>
        </w:rPr>
        <w:t>представленному им на защиту тексту ВКР к студенту применяется дисциплинарное</w:t>
      </w:r>
    </w:p>
    <w:p>
      <w:pPr>
        <w:autoSpaceDN w:val="0"/>
        <w:autoSpaceDE w:val="0"/>
        <w:widowControl/>
        <w:spacing w:line="240" w:lineRule="auto" w:before="116" w:after="52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взыскание за нарушение академических норм в написании письменных учебных работ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72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установленном в НИУ ВШЭ порядке.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Отчисление как мера дисциплинарного взыскания может применяться к обучающемуся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по инициативе университета в случае, если обучающийся допустил нарушения</w:t>
      </w:r>
    </w:p>
    <w:p>
      <w:pPr>
        <w:autoSpaceDN w:val="0"/>
        <w:autoSpaceDE w:val="0"/>
        <w:widowControl/>
        <w:spacing w:line="240" w:lineRule="auto" w:before="118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академических норм как до выхода на итоговую аттестацию, так и после выхода на</w:t>
      </w:r>
    </w:p>
    <w:p>
      <w:pPr>
        <w:autoSpaceDN w:val="0"/>
        <w:autoSpaceDE w:val="0"/>
        <w:widowControl/>
        <w:spacing w:line="240" w:lineRule="auto" w:before="102" w:after="52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итоговую аттестацию, в том числе до и во время проведения защиты выпускной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9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квалификационной работы.</w:t>
            </w:r>
          </w:p>
        </w:tc>
      </w:tr>
    </w:tbl>
    <w:p>
      <w:pPr>
        <w:autoSpaceDN w:val="0"/>
        <w:autoSpaceDE w:val="0"/>
        <w:widowControl/>
        <w:spacing w:line="1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2" w:after="0"/>
              <w:ind w:left="828" w:right="244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Порядок организации проверки КР, ВКР 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Предзащит ВКР студентов на плагиат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Студент в установленный приказом срок, но не позднее 7 рабочих дней до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назначенной даты защиты ВКР, должен:</w:t>
            </w:r>
          </w:p>
        </w:tc>
      </w:tr>
      <w:tr>
        <w:trPr>
          <w:trHeight w:hRule="exact" w:val="510"/>
        </w:trPr>
        <w:tc>
          <w:tcPr>
            <w:tcW w:type="dxa" w:w="14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проверить информацию о себе и о научном руководителе (и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91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соруководителе - при наличии);</w:t>
            </w:r>
          </w:p>
        </w:tc>
      </w:tr>
      <w:tr>
        <w:trPr>
          <w:trHeight w:hRule="exact" w:val="494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1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проверить название темы на русском и английском языках в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приказом об утверждении тем КР/ВКР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4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установлении срока предоставления итогового варианта КР/ВКР;</w:t>
            </w:r>
          </w:p>
        </w:tc>
      </w:tr>
      <w:tr>
        <w:trPr>
          <w:trHeight w:hRule="exact" w:val="508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загрузить итоговый файл КР/ВКР с наименованием, состоящим из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932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ФИО студента и названия работы;</w:t>
            </w:r>
          </w:p>
        </w:tc>
      </w:tr>
      <w:tr>
        <w:trPr>
          <w:trHeight w:hRule="exact" w:val="490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2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заполнить поля, предназначенные для аннотации на русском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70"/>
        </w:trPr>
        <w:tc>
          <w:tcPr>
            <w:tcW w:type="dxa" w:w="87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английском языках (не более 4000 знаков);</w:t>
            </w:r>
          </w:p>
        </w:tc>
      </w:tr>
      <w:tr>
        <w:trPr>
          <w:trHeight w:hRule="exact" w:val="510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подтвердить оригинальность работы и то, что студент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проинформирован о том, что нарушение правил цитирования и</w:t>
      </w:r>
    </w:p>
    <w:p>
      <w:pPr>
        <w:autoSpaceDN w:val="0"/>
        <w:autoSpaceDE w:val="0"/>
        <w:widowControl/>
        <w:spacing w:line="240" w:lineRule="auto" w:before="5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указания ссылок, отсутствие упоминания об использовании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1428" w:right="1218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генеративных моделей при условии их применения рассматривается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как нарушение академических норм в соответствии с Правилами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внутреннего распорядка обучающихся НИУ ВШЭ;</w:t>
      </w:r>
    </w:p>
    <w:p>
      <w:pPr>
        <w:autoSpaceDN w:val="0"/>
        <w:autoSpaceDE w:val="0"/>
        <w:widowControl/>
        <w:spacing w:line="264" w:lineRule="auto" w:before="24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отметку и заполнить информацию об использовании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искусственного интеллекта или подтвердить, что генеративные модели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применялись;</w:t>
      </w:r>
    </w:p>
    <w:p>
      <w:pPr>
        <w:autoSpaceDN w:val="0"/>
        <w:autoSpaceDE w:val="0"/>
        <w:widowControl/>
        <w:spacing w:line="257" w:lineRule="auto" w:before="262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отразить свое отношение к публикации полной версии текста ВКР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портале НИУ ВШЭ.</w:t>
      </w:r>
    </w:p>
    <w:p>
      <w:pPr>
        <w:autoSpaceDN w:val="0"/>
        <w:autoSpaceDE w:val="0"/>
        <w:widowControl/>
        <w:spacing w:line="274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Информация о работах,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доля оригинальности которых составляет менее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80%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или при написании которых выявлено незадекларированное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генеративных моделей, направляется менеджером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на имя академического руководителя образовательной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не позднее чем за 5 рабочих дней до назначенной даты защиты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ВКР.</w:t>
      </w:r>
    </w:p>
    <w:p>
      <w:pPr>
        <w:autoSpaceDN w:val="0"/>
        <w:autoSpaceDE w:val="0"/>
        <w:widowControl/>
        <w:spacing w:line="274" w:lineRule="auto" w:before="262" w:after="0"/>
        <w:ind w:left="14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Окончательное решение о правомерности использования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заимствований и генеративных моделей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 работах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студентов принимает руководитель работы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основании отчета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корпоративной системы Антиплагиат, собственного объема знаний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предметной области, информации об актуальных публикациях по теме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письменной работы. Он также вправе использовать для принятия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решения другие инструменты, позволяющие проверить письменную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работу на плагиат и незадекларированное применение генеративных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моделей.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Если руководитель ВКР принял решение о наличии в тексте плагиата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незадекларированного использования генеративных моделей, он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оформляет служебную записку на имя академического руководителя ОП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 чем за 5 рабочих дней до назначенной даты защиты ВКР.</w:t>
      </w:r>
    </w:p>
    <w:p>
      <w:pPr>
        <w:autoSpaceDN w:val="0"/>
        <w:autoSpaceDE w:val="0"/>
        <w:widowControl/>
        <w:spacing w:line="274" w:lineRule="auto" w:before="260" w:after="26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отсутствии служебных записок от руководителей письменных работ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студентов, включенных в отчет работ доля оригинальности которых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составляет менее 80% или при написании которых выявлено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незадекларированное использование генеративных моделей,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академический руководитель запрашивает руководителей письменных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 студентов о причинах признания выявленных признаков плагиата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9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допустимыми не позднее 3 рабочих дней до назначенной даты защиты ВКР.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4. Студенты-авторы ВКР, в отношении которых выявлены нарушения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академических норм, не допускаются к процедуре защиты ВКР и к ним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применяются меры дисциплинарного взыскания в порядке, установленном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396"/>
        </w:trPr>
        <w:tc>
          <w:tcPr>
            <w:tcW w:type="dxa" w:w="9150"/>
            <w:tcBorders>
              <w:bottom w:sz="5.600000000000023" w:val="single" w:color="#DFE2E2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Правилами внутреннего распорядка обучающихся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6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При наличии неточностей в информации студент должен сообщить менеджеру своей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4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образовательной программы о некорректной информации, которую сотрудник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53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5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корректирует в течение двух рабочих дней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Доступ к сервису и техподдержка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пользоваться системой антиплагиат преподавателям и студентам можно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прочитать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вопросам доступа к системе необходимо обращаться на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 xml:space="preserve"> линию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технической поддержки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240" w:lineRule="auto" w:before="148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Регламент организации проверки письменных учебных работ на наличие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плагиата, использования генеративных моделей и размещения выпускных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квалификационных работ обучающихся по программам бакалавриата,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специалитета и магистратуры на корпоративном сайте (портале)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Декларация этических принципов создания и использования систем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искусственного интеллекта в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Правила внутреннего распорядка обучающихся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университета «Высшая школа экономики» (ПОПАТКУС)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952500</wp:posOffset>
            </wp:positionV>
            <wp:extent cx="508000" cy="241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1333500</wp:posOffset>
            </wp:positionV>
            <wp:extent cx="1346200" cy="317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1828800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16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Образовательные партнерства</w:t>
          </w:r>
        </w:hyperlink>
      </w:r>
    </w:p>
    <w:p>
      <w:pPr>
        <w:sectPr>
          <w:pgSz w:w="11918" w:h="16858"/>
          <w:pgMar w:top="750" w:right="828" w:bottom="45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2800350</wp:posOffset>
            </wp:positionV>
            <wp:extent cx="6877050" cy="45698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922831988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hse.ru/docs/187025700.html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hse.ru/studyspravka/kursovrab" TargetMode="External"/><Relationship Id="rId18" Type="http://schemas.openxmlformats.org/officeDocument/2006/relationships/hyperlink" Target="https://www.hse.ru/studyspravka/vkr" TargetMode="External"/><Relationship Id="rId19" Type="http://schemas.openxmlformats.org/officeDocument/2006/relationships/hyperlink" Target="https://www.hse.ru/studyspravka/instpaliat" TargetMode="External"/><Relationship Id="rId20" Type="http://schemas.openxmlformats.org/officeDocument/2006/relationships/hyperlink" Target="https://www.hse.ru/studyspravka/ai_guidelines" TargetMode="External"/><Relationship Id="rId21" Type="http://schemas.openxmlformats.org/officeDocument/2006/relationships/hyperlink" Target="https://www.hse.ru/org/hse/antiplagiat_info/" TargetMode="External"/><Relationship Id="rId22" Type="http://schemas.openxmlformats.org/officeDocument/2006/relationships/hyperlink" Target="https://www.hse.ru/org/hse/antiplagiat_info/registration" TargetMode="External"/><Relationship Id="rId23" Type="http://schemas.openxmlformats.org/officeDocument/2006/relationships/hyperlink" Target="https://www.hse.ru/docs/969670638.html" TargetMode="External"/><Relationship Id="rId24" Type="http://schemas.openxmlformats.org/officeDocument/2006/relationships/hyperlink" Target="https://www.hse.ru/studyspravka/new_regulations" TargetMode="External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hyperlink" Target="https://www.hse.ru/org/hse/info/" TargetMode="External"/><Relationship Id="rId29" Type="http://schemas.openxmlformats.org/officeDocument/2006/relationships/hyperlink" Target="https://figures.hse.ru/" TargetMode="External"/><Relationship Id="rId30" Type="http://schemas.openxmlformats.org/officeDocument/2006/relationships/hyperlink" Target="https://www.hse.ru/orgstructure/" TargetMode="External"/><Relationship Id="rId31" Type="http://schemas.openxmlformats.org/officeDocument/2006/relationships/hyperlink" Target="https://sustainability.hse.ru/" TargetMode="External"/><Relationship Id="rId32" Type="http://schemas.openxmlformats.org/officeDocument/2006/relationships/hyperlink" Target="https://www.hse.ru/org/persons/" TargetMode="External"/><Relationship Id="rId33" Type="http://schemas.openxmlformats.org/officeDocument/2006/relationships/hyperlink" Target="https://www.hse.ru/buildinghse" TargetMode="External"/><Relationship Id="rId34" Type="http://schemas.openxmlformats.org/officeDocument/2006/relationships/hyperlink" Target="https://www.hse.ru/org/hse/aup/procurement/" TargetMode="External"/><Relationship Id="rId35" Type="http://schemas.openxmlformats.org/officeDocument/2006/relationships/hyperlink" Target="https://www.hse.ru/appeal/" TargetMode="External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education/" TargetMode="External"/><Relationship Id="rId44" Type="http://schemas.openxmlformats.org/officeDocument/2006/relationships/hyperlink" Target="https://school.hse.ru/" TargetMode="External"/><Relationship Id="rId45" Type="http://schemas.openxmlformats.org/officeDocument/2006/relationships/hyperlink" Target="https://fdp.hse.ru/" TargetMode="External"/><Relationship Id="rId46" Type="http://schemas.openxmlformats.org/officeDocument/2006/relationships/hyperlink" Target="https://olymp.hse.ru/" TargetMode="External"/><Relationship Id="rId47" Type="http://schemas.openxmlformats.org/officeDocument/2006/relationships/hyperlink" Target="https://ba.hse.ru/" TargetMode="External"/><Relationship Id="rId48" Type="http://schemas.openxmlformats.org/officeDocument/2006/relationships/hyperlink" Target="https://www.hse.ru/plus" TargetMode="External"/><Relationship Id="rId49" Type="http://schemas.openxmlformats.org/officeDocument/2006/relationships/hyperlink" Target="https://ma.hse.ru/" TargetMode="External"/><Relationship Id="rId50" Type="http://schemas.openxmlformats.org/officeDocument/2006/relationships/hyperlink" Target="https://aspirantura.hse.ru/" TargetMode="External"/><Relationship Id="rId51" Type="http://schemas.openxmlformats.org/officeDocument/2006/relationships/hyperlink" Target="https://busedu.hse.ru/" TargetMode="External"/><Relationship Id="rId52" Type="http://schemas.openxmlformats.org/officeDocument/2006/relationships/hyperlink" Target="https://career.hse.ru/" TargetMode="External"/><Relationship Id="rId53" Type="http://schemas.openxmlformats.org/officeDocument/2006/relationships/hyperlink" Target="http://inc.hse.ru/" TargetMode="External"/><Relationship Id="rId54" Type="http://schemas.openxmlformats.org/officeDocument/2006/relationships/hyperlink" Target="https://dd.hse.ru/" TargetMode="External"/><Relationship Id="rId55" Type="http://schemas.openxmlformats.org/officeDocument/2006/relationships/hyperlink" Target="https://www.hse.ru/feedback" TargetMode="External"/><Relationship Id="rId56" Type="http://schemas.openxmlformats.org/officeDocument/2006/relationships/hyperlink" Target="https://www.hse.ru/science/" TargetMode="External"/><Relationship Id="rId57" Type="http://schemas.openxmlformats.org/officeDocument/2006/relationships/hyperlink" Target="https://www.hse.ru/science/centers" TargetMode="External"/><Relationship Id="rId58" Type="http://schemas.openxmlformats.org/officeDocument/2006/relationships/hyperlink" Target="https://www.hse.ru/org/projects/" TargetMode="External"/><Relationship Id="rId59" Type="http://schemas.openxmlformats.org/officeDocument/2006/relationships/hyperlink" Target="https://www.hse.ru/monitoring/" TargetMode="External"/><Relationship Id="rId60" Type="http://schemas.openxmlformats.org/officeDocument/2006/relationships/hyperlink" Target="https://www.hse.ru/science/disscoun/" TargetMode="External"/><Relationship Id="rId61" Type="http://schemas.openxmlformats.org/officeDocument/2006/relationships/hyperlink" Target="https://aspirantura.hse.ru/defence/announcements/" TargetMode="External"/><Relationship Id="rId62" Type="http://schemas.openxmlformats.org/officeDocument/2006/relationships/hyperlink" Target="https://academics.hse.ru/" TargetMode="External"/><Relationship Id="rId63" Type="http://schemas.openxmlformats.org/officeDocument/2006/relationships/hyperlink" Target="https://www.hse.ru/science/hsegrants" TargetMode="External"/><Relationship Id="rId64" Type="http://schemas.openxmlformats.org/officeDocument/2006/relationships/hyperlink" Target="https://sezam.hse.ru/" TargetMode="External"/><Relationship Id="rId65" Type="http://schemas.openxmlformats.org/officeDocument/2006/relationships/hyperlink" Target="https://publications.hse.ru/" TargetMode="External"/><Relationship Id="rId66" Type="http://schemas.openxmlformats.org/officeDocument/2006/relationships/hyperlink" Target="https://library.hse.ru/" TargetMode="External"/><Relationship Id="rId67" Type="http://schemas.openxmlformats.org/officeDocument/2006/relationships/hyperlink" Target="https://id.hse.ru/" TargetMode="External"/><Relationship Id="rId68" Type="http://schemas.openxmlformats.org/officeDocument/2006/relationships/hyperlink" Target="https://bookshop.hse.ru/" TargetMode="External"/><Relationship Id="rId69" Type="http://schemas.openxmlformats.org/officeDocument/2006/relationships/hyperlink" Target="https://print.hse.ru/" TargetMode="External"/><Relationship Id="rId70" Type="http://schemas.openxmlformats.org/officeDocument/2006/relationships/hyperlink" Target="https://mc.hse.ru/" TargetMode="External"/><Relationship Id="rId71" Type="http://schemas.openxmlformats.org/officeDocument/2006/relationships/hyperlink" Target="https://www.hse.ru/science/journals" TargetMode="External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hyperlink" Target="https://elearning.hse.ru/mooc" TargetMode="External"/><Relationship Id="rId76" Type="http://schemas.openxmlformats.org/officeDocument/2006/relationships/hyperlink" Target="https://www.hse.ru/adm/edit/edit.html?goto=%2AL3N0dWR5c3ByYXZrYS9wbGFnaWF0P19yPTM2MjE0MDQxNzc1MDgwOTE0LjgxMTc%3D%5E&amp;id=83824531&amp;cid=20594&amp;addon_name=default&amp;newportal=1" TargetMode="External"/><Relationship Id="rId77" Type="http://schemas.openxmlformats.org/officeDocument/2006/relationships/hyperlink" Target="https://www.hse.ru/contacts.html" TargetMode="External"/><Relationship Id="rId78" Type="http://schemas.openxmlformats.org/officeDocument/2006/relationships/hyperlink" Target="https://www.hse.ru/copyright" TargetMode="External"/><Relationship Id="rId79" Type="http://schemas.openxmlformats.org/officeDocument/2006/relationships/hyperlink" Target="https://www.hse.ru/data_protection_regulation" TargetMode="External"/><Relationship Id="rId80" Type="http://schemas.openxmlformats.org/officeDocument/2006/relationships/hyperlink" Target="https://www.hse.ru/sitemap.html" TargetMode="External"/><Relationship Id="rId81" Type="http://schemas.openxmlformats.org/officeDocument/2006/relationships/hyperlink" Target="https://design.hse.ru/" TargetMode="External"/><Relationship Id="rId8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