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Плагиат в письменных работах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Процедура проверки письменных учебных работ студентов на плагиат в</w:t>
            </w:r>
          </w:p>
        </w:tc>
      </w:tr>
    </w:tbl>
    <w:p>
      <w:pPr>
        <w:autoSpaceDN w:val="0"/>
        <w:autoSpaceDE w:val="0"/>
        <w:widowControl/>
        <w:spacing w:line="266" w:lineRule="auto" w:before="18" w:after="0"/>
        <w:ind w:left="828" w:right="72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НИУ ВШЭ регулируется </w:t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Регламентом организации проверки письменных</w:t>
          </w:r>
        </w:hyperlink>
      </w:r>
      <w:r>
        <w:rPr>
          <w:u w:val="single" w:color="0079c4"/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учебных работ на наличие плагиата, использования генеративных моделей и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размещения выпускных квалификационных работ обучающихся по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4457700</wp:posOffset>
            </wp:positionV>
            <wp:extent cx="50800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" w:after="32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программам бакалавриата, специалитета и магистратуры на корпоративном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сайте (портале) НИУ ВШЭ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4965700</wp:posOffset>
                  </wp:positionV>
                  <wp:extent cx="1917700" cy="254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относится к письменным работам?</w:t>
            </w:r>
          </w:p>
        </w:tc>
      </w:tr>
    </w:tbl>
    <w:p>
      <w:pPr>
        <w:autoSpaceDN w:val="0"/>
        <w:autoSpaceDE w:val="0"/>
        <w:widowControl/>
        <w:spacing w:line="271" w:lineRule="auto" w:before="148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письменным учебным работам относятся все письменные работы,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выполняемые обучающимися в ходе текущего, промежуточного и итогового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контроля знаний в соответствии с программой учебной дисциплины,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в ходе итоговой аттестации. Они включают домашние задания,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рефераты, эссе, контрольные работы, письменные работы, выполняемые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экзаменах, курсовые и выпускные квалификационные работы. </w:t>
      </w:r>
    </w:p>
    <w:p>
      <w:pPr>
        <w:autoSpaceDN w:val="0"/>
        <w:autoSpaceDE w:val="0"/>
        <w:widowControl/>
        <w:spacing w:line="264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 учебные работы должны выполняться обучающимися самостоятельно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это регламентируется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Правилами внутреннего распорядка обучающихся</w:t>
          </w:r>
        </w:hyperlink>
      </w:r>
    </w:p>
    <w:p>
      <w:pPr>
        <w:autoSpaceDN w:val="0"/>
        <w:autoSpaceDE w:val="0"/>
        <w:widowControl/>
        <w:spacing w:line="240" w:lineRule="auto" w:before="0" w:after="16"/>
        <w:ind w:left="0" w:right="10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8648700</wp:posOffset>
            </wp:positionV>
            <wp:extent cx="38227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8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такое плагиат?</w:t>
            </w:r>
          </w:p>
        </w:tc>
      </w:tr>
    </w:tbl>
    <w:p>
      <w:pPr>
        <w:autoSpaceDN w:val="0"/>
        <w:autoSpaceDE w:val="0"/>
        <w:widowControl/>
        <w:spacing w:line="274" w:lineRule="auto" w:before="146" w:after="20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Плагиат — это использование в письменной работе чужого текста или иного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объекта авторских прав, опубликованного в бумажном или электронном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виде, без полной ссылки (без указания имени автора и источника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заимствования) или со ссылками, но так, что объем и характер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заимствований ставят под сомнение самостоятельность выполненной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или одного из ее основных разделов.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526"/>
        </w:trPr>
        <w:tc>
          <w:tcPr>
            <w:tcW w:type="dxa" w:w="9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Существует три вида плагиата:</w:t>
            </w:r>
          </w:p>
        </w:tc>
      </w:tr>
      <w:tr>
        <w:trPr>
          <w:trHeight w:hRule="exact" w:val="58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дословное изложение чужого текста;</w:t>
            </w:r>
          </w:p>
        </w:tc>
      </w:tr>
      <w:tr>
        <w:trPr>
          <w:trHeight w:hRule="exact" w:val="60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полное использование иного объекта авторских прав;</w:t>
            </w:r>
          </w:p>
        </w:tc>
      </w:tr>
      <w:tr>
        <w:trPr>
          <w:trHeight w:hRule="exact" w:val="488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парафраз – изложение чужого текста с заменой слов и выражений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без изменения содержания заимствованного текста.</w:t>
      </w:r>
    </w:p>
    <w:p>
      <w:pPr>
        <w:autoSpaceDN w:val="0"/>
        <w:autoSpaceDE w:val="0"/>
        <w:widowControl/>
        <w:spacing w:line="240" w:lineRule="auto" w:before="26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нарушения академических норм применяются следующие меры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2"/>
        </w:trPr>
        <w:tc>
          <w:tcPr>
            <w:tcW w:type="dxa" w:w="7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дисциплинарных взысканий:</w:t>
            </w:r>
          </w:p>
        </w:tc>
      </w:tr>
      <w:tr>
        <w:trPr>
          <w:trHeight w:hRule="exact" w:val="60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замечание;</w:t>
            </w:r>
          </w:p>
        </w:tc>
      </w:tr>
      <w:tr>
        <w:trPr>
          <w:trHeight w:hRule="exact" w:val="58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выговор;</w:t>
            </w:r>
          </w:p>
        </w:tc>
      </w:tr>
      <w:tr>
        <w:trPr>
          <w:trHeight w:hRule="exact" w:val="534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отчисление.</w:t>
            </w:r>
          </w:p>
        </w:tc>
      </w:tr>
    </w:tbl>
    <w:p>
      <w:pPr>
        <w:autoSpaceDN w:val="0"/>
        <w:autoSpaceDE w:val="0"/>
        <w:widowControl/>
        <w:spacing w:line="274" w:lineRule="auto" w:before="200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Отчисление как мера дисциплинарного взыскания может применяться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обучающемуся по инициативе университета в случае, если обучающийся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допустил нарушения академических норм как до выхода на итоговую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аттестацию, так и после выхода на итоговую аттестацию, в том числе 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время проведения защиты ВКР.</w:t>
      </w:r>
    </w:p>
    <w:p>
      <w:pPr>
        <w:autoSpaceDN w:val="0"/>
        <w:autoSpaceDE w:val="0"/>
        <w:widowControl/>
        <w:spacing w:line="240" w:lineRule="auto" w:before="260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Особенности и процедура применения дисциплинарных взысканий описаны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Правилах внутреннего распорядка обучающихся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7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197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О проверке на плагиат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828" w:right="1350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НИУ ВШЭ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обязательными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 проверке на плагиат относятся следующие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работы: курсовые работы, выпускные квалификационные работы и текст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предзащиты ВКР на английском языке (Project Proposal).</w:t>
      </w:r>
    </w:p>
    <w:p>
      <w:pPr>
        <w:autoSpaceDN w:val="0"/>
        <w:autoSpaceDE w:val="0"/>
        <w:widowControl/>
        <w:spacing w:line="274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Проверка на плагиат осуществляется посредством загрузки работы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установленные образовательной программой / факультетом. Требования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формату и названию загружаемого файла, составлению аннотации к ВКР,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размещения аннотаций и полного текста ВКР в электронном виде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портале НИУ ВШЭ доступны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Регламенте организации проверки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письменных учебных работ на наличие плагиата, использования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генеративных моделей и размещения выпускных квалификационных работ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обучающихся по программам бакалавриата, специалитета и магистратуры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на корпоративном сайте (портале)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Проверка на плагиат письменных домашних заданий, рефератов, эссе,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контрольных работ с целью оценки уровня заимствований осуществляется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желанию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преподавателя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2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могут использовать технологии генеративных моделей (текста,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программного кода, изображения и прочее) в процессе выполнения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работ (письменных или устных) с обязательным указанием 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 описанием этого:</w:t>
      </w:r>
    </w:p>
    <w:p>
      <w:pPr>
        <w:autoSpaceDN w:val="0"/>
        <w:autoSpaceDE w:val="0"/>
        <w:widowControl/>
        <w:spacing w:line="274" w:lineRule="auto" w:before="260" w:after="0"/>
        <w:ind w:left="14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загрузке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курсовых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выпускных квалификационных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работ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общеуниверситетские сервисы, студент обязан заявить о целях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использования ИИ с указанием конкретной технологии и оценки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успешности ее применения в специальных полях.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Инструкция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 загрузке работ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содержит описание того, как и где именно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студент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должен сообщить об использовании искусственного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интеллекта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Система проверки работ на недопустимые заимствования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использует плагин для распознавания сгенерированных текстов.</w:t>
      </w:r>
    </w:p>
    <w:p>
      <w:pPr>
        <w:autoSpaceDN w:val="0"/>
        <w:autoSpaceDE w:val="0"/>
        <w:widowControl/>
        <w:spacing w:line="274" w:lineRule="auto" w:before="246" w:after="32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иных видах учебных работ, при использовании генеративных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моделей при написании работ, студент/ группа студентов обязан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сопроводить задание специальным разделом «Описание применения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генеративной модели» с описанием целей применения, названия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конкретной модели, адреса ее сайта в интернете (либо описания иного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источника модели), и способа ее применения. Преподаватель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оценку “0” за работу, в которой он усматривает признаки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9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4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применения ИИ без отдельного уведомления студента об этом в своей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11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работе. Либо, если использование ИИ было явно запрещено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2"/>
        </w:trPr>
        <w:tc>
          <w:tcPr>
            <w:tcW w:type="dxa" w:w="9150"/>
            <w:tcBorders>
              <w:bottom w:sz="5.600000000000023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0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преподавателем.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Использование генеративных моделей без указания на это установленным образом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0"/>
        </w:trPr>
        <w:tc>
          <w:tcPr>
            <w:tcW w:type="dxa" w:w="7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является нарушением академических норм.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0"/>
        </w:trPr>
        <w:tc>
          <w:tcPr>
            <w:tcW w:type="dxa" w:w="95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В случае выявления несоответствия загруженного в систему студентом файла ВКР</w:t>
            </w:r>
          </w:p>
        </w:tc>
      </w:tr>
    </w:tbl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shd w:val="clear" w:color="auto" w:fill="000095"/>
          <w:w w:val="98.52272380482067"/>
          <w:rFonts w:ascii="Segoe UI" w:hAnsi="Segoe UI" w:eastAsia="Segoe UI"/>
          <w:b w:val="0"/>
          <w:i w:val="0"/>
          <w:color w:val="696969"/>
          <w:sz w:val="22"/>
        </w:rPr>
        <w:t>представленному им на защиту тексту ВКР к студенту применяется дисциплинарное</w:t>
      </w:r>
    </w:p>
    <w:p>
      <w:pPr>
        <w:autoSpaceDN w:val="0"/>
        <w:autoSpaceDE w:val="0"/>
        <w:widowControl/>
        <w:spacing w:line="240" w:lineRule="auto" w:before="116" w:after="52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взыскание за нарушение академических норм в написании письменных учебных работ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72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установленном в НИУ ВШЭ порядке.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Отчисление как мера дисциплинарного взыскания может применяться к обучающемуся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по инициативе университета в случае, если обучающийся допустил нарушения</w:t>
      </w:r>
    </w:p>
    <w:p>
      <w:pPr>
        <w:autoSpaceDN w:val="0"/>
        <w:autoSpaceDE w:val="0"/>
        <w:widowControl/>
        <w:spacing w:line="240" w:lineRule="auto" w:before="118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академических норм как до выхода на итоговую аттестацию, так и после выхода на</w:t>
      </w:r>
    </w:p>
    <w:p>
      <w:pPr>
        <w:autoSpaceDN w:val="0"/>
        <w:autoSpaceDE w:val="0"/>
        <w:widowControl/>
        <w:spacing w:line="240" w:lineRule="auto" w:before="102" w:after="52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696969"/>
          <w:sz w:val="22"/>
        </w:rPr>
        <w:t>итоговую аттестацию, в том числе до и во время проведения защиты выпускной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9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696969"/>
                <w:sz w:val="22"/>
              </w:rPr>
              <w:t>квалификационной работы.</w:t>
            </w:r>
          </w:p>
        </w:tc>
      </w:tr>
    </w:tbl>
    <w:p>
      <w:pPr>
        <w:autoSpaceDN w:val="0"/>
        <w:autoSpaceDE w:val="0"/>
        <w:widowControl/>
        <w:spacing w:line="1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2" w:after="0"/>
              <w:ind w:left="828" w:right="244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Порядок организации проверки КР, ВКР 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Предзащит ВКР студентов на плагиат</w:t>
            </w:r>
          </w:p>
        </w:tc>
      </w:tr>
    </w:tbl>
    <w:p>
      <w:pPr>
        <w:autoSpaceDN w:val="0"/>
        <w:autoSpaceDE w:val="0"/>
        <w:widowControl/>
        <w:spacing w:line="240" w:lineRule="auto" w:before="156" w:after="26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Студент в установленный приказом срок, но не позднее 7 рабочих дней до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назначенной даты защиты ВКР, должен:</w:t>
            </w:r>
          </w:p>
        </w:tc>
      </w:tr>
      <w:tr>
        <w:trPr>
          <w:trHeight w:hRule="exact" w:val="510"/>
        </w:trPr>
        <w:tc>
          <w:tcPr>
            <w:tcW w:type="dxa" w:w="14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7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проверить информацию о себе и о научном руководителе (и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91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соруководителе - при наличии);</w:t>
            </w:r>
          </w:p>
        </w:tc>
      </w:tr>
      <w:tr>
        <w:trPr>
          <w:trHeight w:hRule="exact" w:val="494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1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проверить название темы на русском и английском языках в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приказом об утверждении тем КР/ВКР 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4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установлении срока предоставления итогового варианта КР/ВКР;</w:t>
            </w:r>
          </w:p>
        </w:tc>
      </w:tr>
      <w:tr>
        <w:trPr>
          <w:trHeight w:hRule="exact" w:val="508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загрузить итоговый файл КР/ВКР с наименованием, состоящим из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932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ФИО студента и названия работы;</w:t>
            </w:r>
          </w:p>
        </w:tc>
      </w:tr>
      <w:tr>
        <w:trPr>
          <w:trHeight w:hRule="exact" w:val="490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2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заполнить поля, предназначенные для аннотации на русском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70"/>
        </w:trPr>
        <w:tc>
          <w:tcPr>
            <w:tcW w:type="dxa" w:w="87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английском языках (не более 4000 знаков);</w:t>
            </w:r>
          </w:p>
        </w:tc>
      </w:tr>
      <w:tr>
        <w:trPr>
          <w:trHeight w:hRule="exact" w:val="510"/>
        </w:trPr>
        <w:tc>
          <w:tcPr>
            <w:tcW w:type="dxa" w:w="1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77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подтвердить оригинальность работы и то, что студент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проинформирован о том, что нарушение правил цитирования и</w:t>
      </w:r>
    </w:p>
    <w:p>
      <w:pPr>
        <w:autoSpaceDN w:val="0"/>
        <w:autoSpaceDE w:val="0"/>
        <w:widowControl/>
        <w:spacing w:line="240" w:lineRule="auto" w:before="50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указания ссылок, отсутствие упоминания об использовании</w:t>
      </w: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1428" w:right="1218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генеративных моделей при условии их применения рассматривается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как нарушение академических норм в соответствии с Правилами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внутреннего распорядка обучающихся НИУ ВШЭ;</w:t>
      </w:r>
    </w:p>
    <w:p>
      <w:pPr>
        <w:autoSpaceDN w:val="0"/>
        <w:autoSpaceDE w:val="0"/>
        <w:widowControl/>
        <w:spacing w:line="264" w:lineRule="auto" w:before="246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поставить отметку и заполнить информацию об использовании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искусственного интеллекта или подтвердить, что генеративные модели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применялись;</w:t>
      </w:r>
    </w:p>
    <w:p>
      <w:pPr>
        <w:autoSpaceDN w:val="0"/>
        <w:autoSpaceDE w:val="0"/>
        <w:widowControl/>
        <w:spacing w:line="257" w:lineRule="auto" w:before="262" w:after="0"/>
        <w:ind w:left="14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отразить свое отношение к публикации полной версии текста ВКР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портале НИУ ВШЭ.</w:t>
      </w:r>
    </w:p>
    <w:p>
      <w:pPr>
        <w:autoSpaceDN w:val="0"/>
        <w:autoSpaceDE w:val="0"/>
        <w:widowControl/>
        <w:spacing w:line="274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Информация о работах,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доля оригинальности которых составляет менее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80%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или при написании которых выявлено незадекларированное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использование генеративных моделей, направляется менеджером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на имя академического руководителя образовательной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не позднее чем за 5 рабочих дней до назначенной даты защиты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ВКР.</w:t>
      </w:r>
    </w:p>
    <w:p>
      <w:pPr>
        <w:autoSpaceDN w:val="0"/>
        <w:autoSpaceDE w:val="0"/>
        <w:widowControl/>
        <w:spacing w:line="274" w:lineRule="auto" w:before="262" w:after="0"/>
        <w:ind w:left="14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Окончательное решение о правомерности использования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заимствований и генеративных моделей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 работах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студентов принимает руководитель работы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основании отчета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корпоративной системы Антиплагиат, собственного объема знаний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предметной области, информации об актуальных публикациях по теме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письменной работы. Он также вправе использовать для принятия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решения другие инструменты, позволяющие проверить письменную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работу на плагиат и незадекларированное применение генеративных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моделей.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Если руководитель ВКР принял решение о наличии в тексте плагиата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незадекларированного использования генеративных моделей, он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оформляет служебную записку на имя академического руководителя ОП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 чем за 5 рабочих дней до назначенной даты защиты ВКР.</w:t>
      </w:r>
    </w:p>
    <w:p>
      <w:pPr>
        <w:autoSpaceDN w:val="0"/>
        <w:autoSpaceDE w:val="0"/>
        <w:widowControl/>
        <w:spacing w:line="274" w:lineRule="auto" w:before="260" w:after="26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отсутствии служебных записок от руководителей письменных работ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студентов, включенных в отчет работ доля оригинальности которых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составляет менее 80% или при написании которых выявлено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незадекларированное использование генеративных моделей,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академический руководитель запрашивает руководителей письменных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 студентов о причинах признания выявленных признаков плагиата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9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допустимыми не позднее 3 рабочих дней до назначенной даты защиты ВКР.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4. Студенты-авторы ВКР, в отношении которых выявлены нарушения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академических норм, не допускаются к процедуре защиты ВКР и к ним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применяются меры дисциплинарного взыскания в порядке, установленном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396"/>
        </w:trPr>
        <w:tc>
          <w:tcPr>
            <w:tcW w:type="dxa" w:w="9150"/>
            <w:tcBorders>
              <w:bottom w:sz="5.600000000000023" w:val="single" w:color="#DFE2E2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Правилами внутреннего распорядка обучающихся НИУ ВШЭ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06"/>
        </w:trPr>
        <w:tc>
          <w:tcPr>
            <w:tcW w:type="dxa" w:w="9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При наличии неточностей в информации студент должен сообщить менеджеру своей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4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образовательной программы о некорректной информации, которую сотрудник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53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5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корректирует в течение двух рабочих дней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Доступ к сервису и техподдержка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Как пользоваться системой антиплагиат преподавателям и студентам можно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прочитать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вопросам доступа к системе необходимо обращаться на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 xml:space="preserve"> линию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2" w:history="1">
                <w:r>
                  <w:rPr>
                    <w:rStyle w:val="Hyperlink"/>
                  </w:rPr>
                  <w:t>технической поддержки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240" w:lineRule="auto" w:before="148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Регламент организации проверки письменных учебных работ на наличие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плагиата, использования генеративных моделей и размещения выпускных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квалификационных работ обучающихся по программам бакалавриата,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специалитета и магистратуры на корпоративном сайте (портале)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Декларация этических принципов создания и использования систем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искусственного интеллекта в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Правила внутреннего распорядка обучающихся НИУ ВШЭ</w:t>
          </w:r>
        </w:hyperlink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Положение об организации промежуточной аттестации и текущего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контроля успеваемости студентов Национального исследовательского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университета «Высшая школа экономики» (ПОПАТКУС)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952500</wp:posOffset>
            </wp:positionV>
            <wp:extent cx="508000" cy="241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1333500</wp:posOffset>
            </wp:positionV>
            <wp:extent cx="1346200" cy="317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0" w:after="0"/>
        <w:ind w:left="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1828800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1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16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16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Образовательные партнерства</w:t>
          </w:r>
        </w:hyperlink>
      </w:r>
    </w:p>
    <w:p>
      <w:pPr>
        <w:sectPr>
          <w:pgSz w:w="11918" w:h="16858"/>
          <w:pgMar w:top="750" w:right="828" w:bottom="45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2800350</wp:posOffset>
            </wp:positionV>
            <wp:extent cx="6877050" cy="45698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922831988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hse.ru/docs/187025700.html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hse.ru/studyspravka/kursovrab" TargetMode="External"/><Relationship Id="rId18" Type="http://schemas.openxmlformats.org/officeDocument/2006/relationships/hyperlink" Target="https://www.hse.ru/studyspravka/vkr" TargetMode="External"/><Relationship Id="rId19" Type="http://schemas.openxmlformats.org/officeDocument/2006/relationships/hyperlink" Target="https://www.hse.ru/studyspravka/instpaliat" TargetMode="External"/><Relationship Id="rId20" Type="http://schemas.openxmlformats.org/officeDocument/2006/relationships/hyperlink" Target="https://www.hse.ru/studyspravka/ai_guidelines" TargetMode="External"/><Relationship Id="rId21" Type="http://schemas.openxmlformats.org/officeDocument/2006/relationships/hyperlink" Target="https://www.hse.ru/org/hse/antiplagiat_info/" TargetMode="External"/><Relationship Id="rId22" Type="http://schemas.openxmlformats.org/officeDocument/2006/relationships/hyperlink" Target="https://www.hse.ru/org/hse/antiplagiat_info/registration" TargetMode="External"/><Relationship Id="rId23" Type="http://schemas.openxmlformats.org/officeDocument/2006/relationships/hyperlink" Target="https://www.hse.ru/docs/969670638.html" TargetMode="External"/><Relationship Id="rId24" Type="http://schemas.openxmlformats.org/officeDocument/2006/relationships/hyperlink" Target="https://www.hse.ru/studyspravka/new_regulations" TargetMode="External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hyperlink" Target="https://www.hse.ru/org/hse/info/" TargetMode="External"/><Relationship Id="rId29" Type="http://schemas.openxmlformats.org/officeDocument/2006/relationships/hyperlink" Target="https://figures.hse.ru/" TargetMode="External"/><Relationship Id="rId30" Type="http://schemas.openxmlformats.org/officeDocument/2006/relationships/hyperlink" Target="https://www.hse.ru/orgstructure/" TargetMode="External"/><Relationship Id="rId31" Type="http://schemas.openxmlformats.org/officeDocument/2006/relationships/hyperlink" Target="https://sustainability.hse.ru/" TargetMode="External"/><Relationship Id="rId32" Type="http://schemas.openxmlformats.org/officeDocument/2006/relationships/hyperlink" Target="https://www.hse.ru/org/persons/" TargetMode="External"/><Relationship Id="rId33" Type="http://schemas.openxmlformats.org/officeDocument/2006/relationships/hyperlink" Target="https://www.hse.ru/buildinghse" TargetMode="External"/><Relationship Id="rId34" Type="http://schemas.openxmlformats.org/officeDocument/2006/relationships/hyperlink" Target="https://www.hse.ru/org/hse/aup/procurement/" TargetMode="External"/><Relationship Id="rId35" Type="http://schemas.openxmlformats.org/officeDocument/2006/relationships/hyperlink" Target="https://www.hse.ru/appeal/" TargetMode="External"/><Relationship Id="rId36" Type="http://schemas.openxmlformats.org/officeDocument/2006/relationships/hyperlink" Target="https://endowment.hse.ru/" TargetMode="External"/><Relationship Id="rId37" Type="http://schemas.openxmlformats.org/officeDocument/2006/relationships/hyperlink" Target="https://www.hse.ru/anticorruption" TargetMode="External"/><Relationship Id="rId38" Type="http://schemas.openxmlformats.org/officeDocument/2006/relationships/hyperlink" Target="https://www.hse.ru/anticorruption/information" TargetMode="External"/><Relationship Id="rId39" Type="http://schemas.openxmlformats.org/officeDocument/2006/relationships/hyperlink" Target="https://www.hse.ru/sveden/" TargetMode="External"/><Relationship Id="rId40" Type="http://schemas.openxmlformats.org/officeDocument/2006/relationships/hyperlink" Target="https://inclusive.hse.ru/" TargetMode="External"/><Relationship Id="rId41" Type="http://schemas.openxmlformats.org/officeDocument/2006/relationships/hyperlink" Target="https://pay.hse.ru/" TargetMode="External"/><Relationship Id="rId42" Type="http://schemas.openxmlformats.org/officeDocument/2006/relationships/hyperlink" Target="https://www.hse.ru/career" TargetMode="External"/><Relationship Id="rId43" Type="http://schemas.openxmlformats.org/officeDocument/2006/relationships/hyperlink" Target="https://www.hse.ru/education/" TargetMode="External"/><Relationship Id="rId44" Type="http://schemas.openxmlformats.org/officeDocument/2006/relationships/hyperlink" Target="https://school.hse.ru/" TargetMode="External"/><Relationship Id="rId45" Type="http://schemas.openxmlformats.org/officeDocument/2006/relationships/hyperlink" Target="https://fdp.hse.ru/" TargetMode="External"/><Relationship Id="rId46" Type="http://schemas.openxmlformats.org/officeDocument/2006/relationships/hyperlink" Target="https://olymp.hse.ru/" TargetMode="External"/><Relationship Id="rId47" Type="http://schemas.openxmlformats.org/officeDocument/2006/relationships/hyperlink" Target="https://ba.hse.ru/" TargetMode="External"/><Relationship Id="rId48" Type="http://schemas.openxmlformats.org/officeDocument/2006/relationships/hyperlink" Target="https://www.hse.ru/plus" TargetMode="External"/><Relationship Id="rId49" Type="http://schemas.openxmlformats.org/officeDocument/2006/relationships/hyperlink" Target="https://ma.hse.ru/" TargetMode="External"/><Relationship Id="rId50" Type="http://schemas.openxmlformats.org/officeDocument/2006/relationships/hyperlink" Target="https://aspirantura.hse.ru/" TargetMode="External"/><Relationship Id="rId51" Type="http://schemas.openxmlformats.org/officeDocument/2006/relationships/hyperlink" Target="https://busedu.hse.ru/" TargetMode="External"/><Relationship Id="rId52" Type="http://schemas.openxmlformats.org/officeDocument/2006/relationships/hyperlink" Target="https://career.hse.ru/" TargetMode="External"/><Relationship Id="rId53" Type="http://schemas.openxmlformats.org/officeDocument/2006/relationships/hyperlink" Target="http://inc.hse.ru/" TargetMode="External"/><Relationship Id="rId54" Type="http://schemas.openxmlformats.org/officeDocument/2006/relationships/hyperlink" Target="https://dd.hse.ru/" TargetMode="External"/><Relationship Id="rId55" Type="http://schemas.openxmlformats.org/officeDocument/2006/relationships/hyperlink" Target="https://www.hse.ru/feedback" TargetMode="External"/><Relationship Id="rId56" Type="http://schemas.openxmlformats.org/officeDocument/2006/relationships/hyperlink" Target="https://www.hse.ru/science/" TargetMode="External"/><Relationship Id="rId57" Type="http://schemas.openxmlformats.org/officeDocument/2006/relationships/hyperlink" Target="https://www.hse.ru/science/centers" TargetMode="External"/><Relationship Id="rId58" Type="http://schemas.openxmlformats.org/officeDocument/2006/relationships/hyperlink" Target="https://www.hse.ru/org/projects/" TargetMode="External"/><Relationship Id="rId59" Type="http://schemas.openxmlformats.org/officeDocument/2006/relationships/hyperlink" Target="https://www.hse.ru/monitoring/" TargetMode="External"/><Relationship Id="rId60" Type="http://schemas.openxmlformats.org/officeDocument/2006/relationships/hyperlink" Target="https://www.hse.ru/science/disscoun/" TargetMode="External"/><Relationship Id="rId61" Type="http://schemas.openxmlformats.org/officeDocument/2006/relationships/hyperlink" Target="https://aspirantura.hse.ru/defence/announcements/" TargetMode="External"/><Relationship Id="rId62" Type="http://schemas.openxmlformats.org/officeDocument/2006/relationships/hyperlink" Target="https://academics.hse.ru/" TargetMode="External"/><Relationship Id="rId63" Type="http://schemas.openxmlformats.org/officeDocument/2006/relationships/hyperlink" Target="https://www.hse.ru/science/hsegrants" TargetMode="External"/><Relationship Id="rId64" Type="http://schemas.openxmlformats.org/officeDocument/2006/relationships/hyperlink" Target="https://sezam.hse.ru/" TargetMode="External"/><Relationship Id="rId65" Type="http://schemas.openxmlformats.org/officeDocument/2006/relationships/hyperlink" Target="https://publications.hse.ru/" TargetMode="External"/><Relationship Id="rId66" Type="http://schemas.openxmlformats.org/officeDocument/2006/relationships/hyperlink" Target="https://library.hse.ru/" TargetMode="External"/><Relationship Id="rId67" Type="http://schemas.openxmlformats.org/officeDocument/2006/relationships/hyperlink" Target="https://id.hse.ru/" TargetMode="External"/><Relationship Id="rId68" Type="http://schemas.openxmlformats.org/officeDocument/2006/relationships/hyperlink" Target="https://bookshop.hse.ru/" TargetMode="External"/><Relationship Id="rId69" Type="http://schemas.openxmlformats.org/officeDocument/2006/relationships/hyperlink" Target="https://print.hse.ru/" TargetMode="External"/><Relationship Id="rId70" Type="http://schemas.openxmlformats.org/officeDocument/2006/relationships/hyperlink" Target="https://mc.hse.ru/" TargetMode="External"/><Relationship Id="rId71" Type="http://schemas.openxmlformats.org/officeDocument/2006/relationships/hyperlink" Target="https://www.hse.ru/science/journals" TargetMode="External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hyperlink" Target="https://elearning.hse.ru/mooc" TargetMode="External"/><Relationship Id="rId76" Type="http://schemas.openxmlformats.org/officeDocument/2006/relationships/hyperlink" Target="https://www.hse.ru/adm/edit/edit.html?goto=%2AL3N0dWR5c3ByYXZrYS9wbGFnaWF0P19yPTM2MjE0MDQxNzc1MDgwOTE0LjgxMTc%3D%5E&amp;id=83824531&amp;cid=20594&amp;addon_name=default&amp;newportal=1" TargetMode="External"/><Relationship Id="rId77" Type="http://schemas.openxmlformats.org/officeDocument/2006/relationships/hyperlink" Target="https://www.hse.ru/contacts.html" TargetMode="External"/><Relationship Id="rId78" Type="http://schemas.openxmlformats.org/officeDocument/2006/relationships/hyperlink" Target="https://www.hse.ru/copyright" TargetMode="External"/><Relationship Id="rId79" Type="http://schemas.openxmlformats.org/officeDocument/2006/relationships/hyperlink" Target="https://www.hse.ru/data_protection_regulation" TargetMode="External"/><Relationship Id="rId80" Type="http://schemas.openxmlformats.org/officeDocument/2006/relationships/hyperlink" Target="https://www.hse.ru/sitemap.html" TargetMode="External"/><Relationship Id="rId81" Type="http://schemas.openxmlformats.org/officeDocument/2006/relationships/hyperlink" Target="https://design.hse.ru/" TargetMode="External"/><Relationship Id="rId8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