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2561590</wp:posOffset>
            </wp:positionV>
            <wp:extent cx="6485890" cy="6930346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5890" cy="693034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6" w:val="left"/>
        </w:tabs>
        <w:autoSpaceDE w:val="0"/>
        <w:widowControl/>
        <w:spacing w:line="240" w:lineRule="auto" w:before="198" w:after="0"/>
        <w:ind w:left="678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160"/>
        <w:ind w:left="304" w:right="1584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Выход из академического отпуска, отпуска по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беременности и родам и уходу за ребенком для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обучающихся НИУ ВШЭ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752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4" w:after="0"/>
              <w:ind w:left="30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t>Навигация страницы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" w:type="dxa"/>
      </w:tblPr>
      <w:tblGrid>
        <w:gridCol w:w="10824"/>
      </w:tblGrid>
      <w:tr>
        <w:trPr>
          <w:trHeight w:hRule="exact" w:val="384"/>
        </w:trPr>
        <w:tc>
          <w:tcPr>
            <w:tcW w:type="dxa" w:w="620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Плановый выход</w:t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" w:type="dxa"/>
      </w:tblPr>
      <w:tblGrid>
        <w:gridCol w:w="10824"/>
      </w:tblGrid>
      <w:tr>
        <w:trPr>
          <w:trHeight w:hRule="exact" w:val="384"/>
        </w:trPr>
        <w:tc>
          <w:tcPr>
            <w:tcW w:type="dxa" w:w="62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Досрочный выход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" w:type="dxa"/>
      </w:tblPr>
      <w:tblGrid>
        <w:gridCol w:w="10824"/>
      </w:tblGrid>
      <w:tr>
        <w:trPr>
          <w:trHeight w:hRule="exact" w:val="384"/>
        </w:trPr>
        <w:tc>
          <w:tcPr>
            <w:tcW w:type="dxa" w:w="62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Допуск к занятиям</w:t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" w:type="dxa"/>
      </w:tblPr>
      <w:tblGrid>
        <w:gridCol w:w="10824"/>
      </w:tblGrid>
      <w:tr>
        <w:trPr>
          <w:trHeight w:hRule="exact" w:val="384"/>
        </w:trPr>
        <w:tc>
          <w:tcPr>
            <w:tcW w:type="dxa" w:w="634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Формирование ИУП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" w:type="dxa"/>
      </w:tblPr>
      <w:tblGrid>
        <w:gridCol w:w="10824"/>
      </w:tblGrid>
      <w:tr>
        <w:trPr>
          <w:trHeight w:hRule="exact" w:val="384"/>
        </w:trPr>
        <w:tc>
          <w:tcPr>
            <w:tcW w:type="dxa" w:w="690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Допуск и перевод на другую ОП</w:t>
            </w:r>
          </w:p>
        </w:tc>
      </w:tr>
    </w:tbl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" w:type="dxa"/>
      </w:tblPr>
      <w:tblGrid>
        <w:gridCol w:w="10824"/>
      </w:tblGrid>
      <w:tr>
        <w:trPr>
          <w:trHeight w:hRule="exact" w:val="384"/>
        </w:trPr>
        <w:tc>
          <w:tcPr>
            <w:tcW w:type="dxa" w:w="5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Документы</w:t>
            </w:r>
          </w:p>
        </w:tc>
      </w:tr>
    </w:tbl>
    <w:p>
      <w:pPr>
        <w:autoSpaceDN w:val="0"/>
        <w:autoSpaceDE w:val="0"/>
        <w:widowControl/>
        <w:spacing w:line="8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752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6" w:after="0"/>
              <w:ind w:left="30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t>Полезные ссылки</w:t>
            </w:r>
          </w:p>
        </w:tc>
      </w:tr>
    </w:tbl>
    <w:p>
      <w:pPr>
        <w:autoSpaceDN w:val="0"/>
        <w:autoSpaceDE w:val="0"/>
        <w:widowControl/>
        <w:spacing w:line="1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84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1" w:history="1">
                <w:r>
                  <w:rPr>
                    <w:rStyle w:val="Hyperlink"/>
                  </w:rPr>
                  <w:t>Академический отпуск, отпуск по беременности и родам и уходу за ребенком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" w:type="dxa"/>
      </w:tblPr>
      <w:tblGrid>
        <w:gridCol w:w="10824"/>
      </w:tblGrid>
      <w:tr>
        <w:trPr>
          <w:trHeight w:hRule="exact" w:val="384"/>
        </w:trPr>
        <w:tc>
          <w:tcPr>
            <w:tcW w:type="dxa" w:w="59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2" w:history="1">
                <w:r>
                  <w:rPr>
                    <w:rStyle w:val="Hyperlink"/>
                  </w:rPr>
                  <w:t>Отчисление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" w:type="dxa"/>
      </w:tblPr>
      <w:tblGrid>
        <w:gridCol w:w="10824"/>
      </w:tblGrid>
      <w:tr>
        <w:trPr>
          <w:trHeight w:hRule="exact" w:val="384"/>
        </w:trPr>
        <w:tc>
          <w:tcPr>
            <w:tcW w:type="dxa" w:w="6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3" w:history="1">
                <w:r>
                  <w:rPr>
                    <w:rStyle w:val="Hyperlink"/>
                  </w:rPr>
                  <w:t>Восстановление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2188" w:after="172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Плановый выход после окончания отпуска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328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54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Студент допускается к учебному процессу с даты, следующей за датой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396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окончания отпуска, указанной в приказе о предоставлении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94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отпуска.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Подавать заявление для планового выхода из отпуска не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828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требуется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69" w:lineRule="auto" w:before="262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Студенту направляется уведомление на корпоративную электронную почту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 10 (десять) календарных дней до окончания срока отпуска о дате,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которой необходимо приступить к занятиям, о расписании занятий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первую неделю и об особенностях допуска к учебному процессу.</w:t>
      </w:r>
    </w:p>
    <w:p>
      <w:pPr>
        <w:autoSpaceDN w:val="0"/>
        <w:autoSpaceDE w:val="0"/>
        <w:widowControl/>
        <w:spacing w:line="266" w:lineRule="auto" w:before="260" w:after="0"/>
        <w:ind w:left="828" w:right="1822" w:firstLine="0"/>
        <w:jc w:val="both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Уведомление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предусматривает форму обратной связи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о готовности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студента приступить к занятиям по истечении срока, на который был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предоставлен отпуск.</w:t>
      </w:r>
    </w:p>
    <w:p>
      <w:pPr>
        <w:autoSpaceDN w:val="0"/>
        <w:autoSpaceDE w:val="0"/>
        <w:widowControl/>
        <w:spacing w:line="257" w:lineRule="auto" w:before="262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 имеет возможность запросить продление академического отпуска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через форму обратной связи, описав причины.</w:t>
      </w:r>
    </w:p>
    <w:p>
      <w:pPr>
        <w:autoSpaceDN w:val="0"/>
        <w:autoSpaceDE w:val="0"/>
        <w:widowControl/>
        <w:spacing w:line="274" w:lineRule="auto" w:before="262" w:after="26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Если после завершения отпуска студент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не приступил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к освоению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образовательной программы, в том числе не посещает учебные занятия,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предусмотренные индивидуальным учебным планом, то он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подлежит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отчислению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за невыполнение обязанностей по добросовестному освоению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образовательной программы и выполнению учебного плана с дня,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126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следующим за днем завершения академического отпуска.</w:t>
            </w:r>
          </w:p>
        </w:tc>
      </w:tr>
    </w:tbl>
    <w:p>
      <w:pPr>
        <w:autoSpaceDN w:val="0"/>
        <w:autoSpaceDE w:val="0"/>
        <w:widowControl/>
        <w:spacing w:line="240" w:lineRule="auto" w:before="662" w:after="172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Досрочный выход из отпуска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352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54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Для досрочного завершения отпуска необходимо:</w:t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3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1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1. Подать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электронное заявление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о выходе из отпуска до</w:t>
            </w:r>
          </w:p>
        </w:tc>
      </w:tr>
    </w:tbl>
    <w:p>
      <w:pPr>
        <w:autoSpaceDN w:val="0"/>
        <w:autoSpaceDE w:val="0"/>
        <w:widowControl/>
        <w:spacing w:line="240" w:lineRule="auto" w:before="34" w:after="26"/>
        <w:ind w:left="141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окончания периода времени, на который он был предоставлен, через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4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11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6" w:history="1">
                <w:r>
                  <w:rPr>
                    <w:rStyle w:val="Hyperlink"/>
                  </w:rPr>
                  <w:t>единый сервис заявлений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в едином личном кабинете (ЕЛК).</w:t>
            </w:r>
          </w:p>
        </w:tc>
      </w:tr>
    </w:tbl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8.0" w:type="dxa"/>
      </w:tblPr>
      <w:tblGrid>
        <w:gridCol w:w="10824"/>
      </w:tblGrid>
      <w:tr>
        <w:trPr>
          <w:trHeight w:hRule="exact" w:val="424"/>
        </w:trPr>
        <w:tc>
          <w:tcPr>
            <w:tcW w:type="dxa" w:w="94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2. Дождаться выпуска приказа о допуске обучающегося к учебному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8.0" w:type="dxa"/>
      </w:tblPr>
      <w:tblGrid>
        <w:gridCol w:w="10824"/>
      </w:tblGrid>
      <w:tr>
        <w:trPr>
          <w:trHeight w:hRule="exact" w:val="424"/>
        </w:trPr>
        <w:tc>
          <w:tcPr>
            <w:tcW w:type="dxa" w:w="60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72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процессу.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8.0" w:type="dxa"/>
      </w:tblPr>
      <w:tblGrid>
        <w:gridCol w:w="10824"/>
      </w:tblGrid>
      <w:tr>
        <w:trPr>
          <w:trHeight w:hRule="exact" w:val="434"/>
        </w:trPr>
        <w:tc>
          <w:tcPr>
            <w:tcW w:type="dxa" w:w="93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3. Приступить к освоению образовательной программы, посещая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8.0" w:type="dxa"/>
      </w:tblPr>
      <w:tblGrid>
        <w:gridCol w:w="10824"/>
      </w:tblGrid>
      <w:tr>
        <w:trPr>
          <w:trHeight w:hRule="exact" w:val="430"/>
        </w:trPr>
        <w:tc>
          <w:tcPr>
            <w:tcW w:type="dxa" w:w="966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72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учебные занятия, предусмотренные индивидуальным учебным планом.</w:t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99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При подаче студентом заявления о досрочном выходе из отпуска он может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04"/>
        </w:trPr>
        <w:tc>
          <w:tcPr>
            <w:tcW w:type="dxa" w:w="96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быть допущен к учебному процессу не ранее начала учебного модуля,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00" w:after="0"/>
        <w:ind w:left="828" w:right="0" w:firstLine="0"/>
        <w:jc w:val="left"/>
      </w:pP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следующего за учебным модулем, в котором студент ушел в отпуск, при</w:t>
      </w:r>
    </w:p>
    <w:p>
      <w:pPr>
        <w:autoSpaceDN w:val="0"/>
        <w:autoSpaceDE w:val="0"/>
        <w:widowControl/>
        <w:spacing w:line="240" w:lineRule="auto" w:before="52" w:after="34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условии, что фактическая продолжительность отпуска составила не менее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32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двух месяцев.</w:t>
            </w:r>
          </w:p>
        </w:tc>
      </w:tr>
    </w:tbl>
    <w:p>
      <w:pPr>
        <w:autoSpaceDN w:val="0"/>
        <w:autoSpaceDE w:val="0"/>
        <w:widowControl/>
        <w:spacing w:line="5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594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36.0000000000001" w:type="dxa"/>
            </w:tblPr>
            <w:tblGrid>
              <w:gridCol w:w="5402"/>
              <w:gridCol w:w="5402"/>
            </w:tblGrid>
            <w:tr>
              <w:trPr>
                <w:trHeight w:hRule="exact" w:val="5784"/>
              </w:trPr>
              <w:tc>
                <w:tcPr>
                  <w:tcW w:type="dxa" w:w="4140"/>
                  <w:tcBorders>
                    <w:start w:sz="6.399999999999977" w:val="single" w:color="#000000"/>
                    <w:top w:sz="6.399999999999977" w:val="single" w:color="#000000"/>
                    <w:end w:sz="6.400000000000091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auto" w:before="144" w:after="0"/>
                    <w:ind w:left="126" w:right="144" w:firstLine="0"/>
                    <w:jc w:val="left"/>
                  </w:pPr>
                  <w:r>
                    <w:rPr>
                      <w:w w:val="98.07692307692307"/>
                      <w:rFonts w:ascii="Segoe UI Semibold" w:hAnsi="Segoe UI Semibold" w:eastAsia="Segoe UI Semibold"/>
                      <w:b/>
                      <w:i w:val="0"/>
                      <w:color w:val="000000"/>
                      <w:sz w:val="26"/>
                    </w:rPr>
                    <w:t>При положительном решении</w:t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о досрочном выходе из отпуска</w:t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студенту на платном месте</w:t>
                  </w:r>
                  <w:r>
                    <w:br/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направляется дополнительное</w:t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соглашение к договору об</w:t>
                  </w:r>
                  <w:r>
                    <w:br/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образовании. В течение трех</w:t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рабочих дней после</w:t>
                  </w:r>
                  <w:r>
                    <w:br/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исполнения студентом</w:t>
                  </w:r>
                  <w:r>
                    <w:br/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денежных обязательств по</w:t>
                  </w:r>
                  <w:r>
                    <w:br/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дополнительному соглашению</w:t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к договору об образовании</w:t>
                  </w:r>
                  <w:r>
                    <w:br/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менеджер ОП готовит приказ о</w:t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выходе из отпуска, который</w:t>
                  </w:r>
                  <w:r>
                    <w:br/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подписывается проректором.</w:t>
                  </w:r>
                </w:p>
              </w:tc>
              <w:tc>
                <w:tcPr>
                  <w:tcW w:type="dxa" w:w="3344"/>
                  <w:tcBorders>
                    <w:start w:sz="6.400000000000091" w:val="single" w:color="#000000"/>
                    <w:top w:sz="6.399999999999977" w:val="single" w:color="#000000"/>
                    <w:end w:sz="6.400000000000091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8" w:lineRule="auto" w:before="144" w:after="0"/>
                    <w:ind w:left="128" w:right="288" w:firstLine="0"/>
                    <w:jc w:val="left"/>
                  </w:pPr>
                  <w:r>
                    <w:rPr>
                      <w:w w:val="98.07692307692307"/>
                      <w:rFonts w:ascii="Segoe UI Semibold" w:hAnsi="Segoe UI Semibold" w:eastAsia="Segoe UI Semibold"/>
                      <w:b/>
                      <w:i w:val="0"/>
                      <w:color w:val="000000"/>
                      <w:sz w:val="26"/>
                    </w:rPr>
                    <w:t>При отрицательном</w:t>
                  </w:r>
                  <w:r>
                    <w:br/>
                  </w:r>
                  <w:r>
                    <w:rPr>
                      <w:w w:val="98.07692307692307"/>
                      <w:rFonts w:ascii="Segoe UI Semibold" w:hAnsi="Segoe UI Semibold" w:eastAsia="Segoe UI Semibold"/>
                      <w:b/>
                      <w:i w:val="0"/>
                      <w:color w:val="000000"/>
                      <w:sz w:val="26"/>
                    </w:rPr>
                    <w:t>решении</w:t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, принятом по</w:t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итогам рассмотрения</w:t>
                  </w:r>
                  <w:r>
                    <w:br/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заявки о досрочном</w:t>
                  </w:r>
                  <w:r>
                    <w:br/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выходе из отпуска,</w:t>
                  </w:r>
                  <w:r>
                    <w:br/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менеджер ОП</w:t>
                  </w:r>
                  <w:r>
                    <w:br/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разъясняет студенту</w:t>
                  </w:r>
                  <w:r>
                    <w:br/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причины отказа и</w:t>
                  </w:r>
                  <w:r>
                    <w:br/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консультирует о</w:t>
                  </w:r>
                  <w:r>
                    <w:br/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возможных вариантах</w:t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продолжения обучения/</w:t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рекомендуемых сроках</w:t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выхода из отпуска.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2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Для студента, выходящего из отпуска для обучения на бюджетном месте,</w:t>
            </w:r>
          </w:p>
        </w:tc>
      </w:tr>
    </w:tbl>
    <w:p>
      <w:pPr>
        <w:autoSpaceDN w:val="0"/>
        <w:autoSpaceDE w:val="0"/>
        <w:widowControl/>
        <w:spacing w:line="240" w:lineRule="auto" w:before="26" w:after="32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менеджер ОП в течение трех рабочих дней после согласования ИУП готовит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512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проект приказа о выходе из отпуска.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5202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6" w:after="172"/>
              <w:ind w:left="304" w:right="432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3"/>
              </w:rPr>
              <w:t>Особенности допуска к занятиям после окончания отпуска при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3"/>
              </w:rPr>
              <w:t>наличии академических задолженностей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3.9999999999999" w:type="dxa"/>
            </w:tblPr>
            <w:tblGrid>
              <w:gridCol w:w="10804"/>
            </w:tblGrid>
            <w:tr>
              <w:trPr>
                <w:trHeight w:hRule="exact" w:val="3864"/>
              </w:trPr>
              <w:tc>
                <w:tcPr>
                  <w:tcW w:type="dxa" w:w="10200"/>
                  <w:tcBorders/>
                  <w:shd w:fill="efef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144" w:after="0"/>
                    <w:ind w:left="524" w:right="0" w:firstLine="0"/>
                    <w:jc w:val="left"/>
                  </w:pP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(при наличии) в установленном в НИУ ВШЭ порядке;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33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7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Если у студента на момент предоставления отпуска были академические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96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причины для отчисления, то при выходе из отпуска образовательные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490"/>
        </w:trPr>
        <w:tc>
          <w:tcPr>
            <w:tcW w:type="dxa" w:w="10200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отношения прекращаются по инициативе НИУ ВШЭ, кроме случаев, когда:</w:t>
            </w:r>
          </w:p>
        </w:tc>
      </w:tr>
      <w:tr>
        <w:trPr>
          <w:trHeight w:hRule="exact" w:val="500"/>
        </w:trPr>
        <w:tc>
          <w:tcPr>
            <w:tcW w:type="dxa" w:w="84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35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студенту по дисципилинам с академическими задолженностями были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80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зачтены положительные оценки по дополнительным результатам обучения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88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— студент, обучавшийся на бюджетном месте, заключил договор об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52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образовании для продолжения обучения на платной основе.</w:t>
            </w:r>
          </w:p>
        </w:tc>
      </w:tr>
    </w:tbl>
    <w:p>
      <w:pPr>
        <w:autoSpaceDN w:val="0"/>
        <w:autoSpaceDE w:val="0"/>
        <w:widowControl/>
        <w:spacing w:line="8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32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Если перед уходом в академический отпуск студент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полностью</w:t>
            </w:r>
          </w:p>
        </w:tc>
      </w:tr>
    </w:tbl>
    <w:p>
      <w:pPr>
        <w:autoSpaceDN w:val="0"/>
        <w:autoSpaceDE w:val="0"/>
        <w:widowControl/>
        <w:spacing w:line="240" w:lineRule="auto" w:before="34" w:after="0"/>
        <w:ind w:left="828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завершил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изучение дисциплин (или других элементов образовательной</w:t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программы), но не прошел по ним промежуточную аттестацию (не сдал</w:t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экзамен) или не использовал все попытки пересдачи, то после выхода из</w:t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отпуска применяются следующие правила:</w:t>
      </w:r>
    </w:p>
    <w:p>
      <w:pPr>
        <w:autoSpaceDN w:val="0"/>
        <w:autoSpaceDE w:val="0"/>
        <w:widowControl/>
        <w:spacing w:line="240" w:lineRule="auto" w:before="260" w:after="0"/>
        <w:ind w:left="828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Основное правило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в ближайшую сессию/ ближайший период пересдач</w:t>
      </w:r>
    </w:p>
    <w:p>
      <w:pPr>
        <w:autoSpaceDN w:val="0"/>
        <w:autoSpaceDE w:val="0"/>
        <w:widowControl/>
        <w:spacing w:line="240" w:lineRule="auto" w:before="50" w:after="0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проходит промежуточную аттестацию/ пересдачи экзаменов без повторного</w:t>
      </w:r>
    </w:p>
    <w:p>
      <w:pPr>
        <w:autoSpaceDN w:val="0"/>
        <w:autoSpaceDE w:val="0"/>
        <w:widowControl/>
        <w:spacing w:line="240" w:lineRule="auto" w:before="50" w:after="20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прослушивания этих дисциплин или прохождения иных элементов ОП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526"/>
        </w:trPr>
        <w:tc>
          <w:tcPr>
            <w:tcW w:type="dxa" w:w="10804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Исключения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:</w:t>
            </w:r>
          </w:p>
        </w:tc>
      </w:tr>
      <w:tr>
        <w:trPr>
          <w:trHeight w:hRule="exact" w:val="508"/>
        </w:trPr>
        <w:tc>
          <w:tcPr>
            <w:tcW w:type="dxa" w:w="11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65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Если по этим дисциплинам студенту уже были зачтены положительные</w:t>
            </w:r>
          </w:p>
        </w:tc>
      </w:tr>
    </w:tbl>
    <w:p>
      <w:pPr>
        <w:autoSpaceDN w:val="0"/>
        <w:autoSpaceDE w:val="0"/>
        <w:widowControl/>
        <w:spacing w:line="240" w:lineRule="auto" w:before="32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оценки по дополнительным результатам обучения (при наличии) 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5412"/>
        <w:gridCol w:w="5412"/>
      </w:tblGrid>
      <w:tr>
        <w:trPr>
          <w:trHeight w:hRule="exact" w:val="476"/>
        </w:trPr>
        <w:tc>
          <w:tcPr>
            <w:tcW w:type="dxa" w:w="9880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установленном в НИУ ВШЭ порядке;</w:t>
            </w:r>
          </w:p>
        </w:tc>
      </w:tr>
      <w:tr>
        <w:trPr>
          <w:trHeight w:hRule="exact" w:val="498"/>
        </w:trPr>
        <w:tc>
          <w:tcPr>
            <w:tcW w:type="dxa" w:w="7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1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Если студент заключил договор и оплатил договор по части ОП, изъявив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20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желание повторно прослушать эти дисциплины или элементы ОП. </w:t>
            </w:r>
          </w:p>
        </w:tc>
      </w:tr>
    </w:tbl>
    <w:p>
      <w:pPr>
        <w:autoSpaceDN w:val="0"/>
        <w:autoSpaceDE w:val="0"/>
        <w:widowControl/>
        <w:spacing w:line="245" w:lineRule="auto" w:before="670" w:after="172"/>
        <w:ind w:left="304" w:right="576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Формирование индивидуального учебного плана (ИУП) после</w:t>
      </w: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выхода из отпуска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33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8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При выходе из академического отпуска ИУП формируется с учетом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490"/>
        </w:trPr>
        <w:tc>
          <w:tcPr>
            <w:tcW w:type="dxa" w:w="10200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следующего:</w:t>
            </w:r>
          </w:p>
        </w:tc>
      </w:tr>
      <w:tr>
        <w:trPr>
          <w:trHeight w:hRule="exact" w:val="500"/>
        </w:trPr>
        <w:tc>
          <w:tcPr>
            <w:tcW w:type="dxa" w:w="84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35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В ИУП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не включаются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дисциплины, по которым уже состоялись элементы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98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текущего контроля — они должны быть запланированы в будущие периоды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5412"/>
        <w:gridCol w:w="5412"/>
      </w:tblGrid>
      <w:tr>
        <w:trPr>
          <w:trHeight w:hRule="exact" w:val="482"/>
        </w:trPr>
        <w:tc>
          <w:tcPr>
            <w:tcW w:type="dxa" w:w="9220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формирования ИУП.</w:t>
            </w:r>
          </w:p>
        </w:tc>
      </w:tr>
      <w:tr>
        <w:trPr>
          <w:trHeight w:hRule="exact" w:val="500"/>
        </w:trPr>
        <w:tc>
          <w:tcPr>
            <w:tcW w:type="dxa" w:w="7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48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Студент может обратиться к академическому руководителю с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04"/>
        </w:trPr>
        <w:tc>
          <w:tcPr>
            <w:tcW w:type="dxa" w:w="98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ходатайством о включении таких дисциплины в текущий ИУП. При этом, в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97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своем обращении студенту необходимо подтвердить, что он:</w:t>
            </w:r>
          </w:p>
        </w:tc>
      </w:tr>
    </w:tbl>
    <w:p>
      <w:pPr>
        <w:autoSpaceDN w:val="0"/>
        <w:autoSpaceDE w:val="0"/>
        <w:widowControl/>
        <w:spacing w:line="266" w:lineRule="auto" w:before="202" w:after="0"/>
        <w:ind w:left="1428" w:right="158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Осознает, что преподаватель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не обязан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предоставлять студенту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отдельные задания или организовывать пересдачу пропущенных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элементов текущего контроля;</w:t>
      </w:r>
    </w:p>
    <w:p>
      <w:pPr>
        <w:autoSpaceDN w:val="0"/>
        <w:autoSpaceDE w:val="0"/>
        <w:widowControl/>
        <w:spacing w:line="264" w:lineRule="auto" w:before="260" w:after="32"/>
        <w:ind w:left="1428" w:right="158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Готов к тому, что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пропущенные элементы не будут учтены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при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выставлении итоговой оценки, которая будет определяться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основании тех форм контроля, в которых студент успеет принять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998"/>
        </w:trPr>
        <w:tc>
          <w:tcPr>
            <w:tcW w:type="dxa" w:w="84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35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28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участие.</w:t>
            </w:r>
          </w:p>
          <w:p>
            <w:pPr>
              <w:autoSpaceDN w:val="0"/>
              <w:autoSpaceDE w:val="0"/>
              <w:widowControl/>
              <w:spacing w:line="240" w:lineRule="auto" w:before="262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ситуации, когда в текущем учебном периоде по плану образовательной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программы нет ни одной подходящей для включения дисциплины, студент:</w:t>
      </w:r>
    </w:p>
    <w:p>
      <w:pPr>
        <w:autoSpaceDN w:val="0"/>
        <w:autoSpaceDE w:val="0"/>
        <w:widowControl/>
        <w:spacing w:line="257" w:lineRule="auto" w:before="262" w:after="0"/>
        <w:ind w:left="1428" w:right="216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Использует время до начала следующего учебного периода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для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самообразования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262" w:after="26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Может принимать участие в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свободных элементах практической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932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124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подготовки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(если они предусмотрены учебным планом).</w:t>
            </w:r>
          </w:p>
        </w:tc>
      </w:tr>
    </w:tbl>
    <w:p>
      <w:pPr>
        <w:autoSpaceDN w:val="0"/>
        <w:autoSpaceDE w:val="0"/>
        <w:widowControl/>
        <w:spacing w:line="245" w:lineRule="auto" w:before="826" w:after="0"/>
        <w:ind w:left="304" w:right="144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Выход из отпуска и перевод на другую образовательную</w:t>
      </w: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программу</w:t>
      </w:r>
    </w:p>
    <w:p>
      <w:pPr>
        <w:autoSpaceDN w:val="0"/>
        <w:autoSpaceDE w:val="0"/>
        <w:widowControl/>
        <w:spacing w:line="259" w:lineRule="auto" w:before="226" w:after="0"/>
        <w:ind w:left="304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выхода из отпуска с последующим переводом необходимо подать заявку через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единый сервис заявлений в ЕЛК.</w:t>
      </w:r>
    </w:p>
    <w:p>
      <w:pPr>
        <w:autoSpaceDN w:val="0"/>
        <w:autoSpaceDE w:val="0"/>
        <w:widowControl/>
        <w:spacing w:line="259" w:lineRule="auto" w:before="260" w:after="0"/>
        <w:ind w:left="304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Заявка на допуск из отпуска и перевод согласуется менеджером ОП, по которой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ранее обучался студент.</w:t>
      </w:r>
    </w:p>
    <w:p>
      <w:pPr>
        <w:autoSpaceDN w:val="0"/>
        <w:autoSpaceDE w:val="0"/>
        <w:widowControl/>
        <w:spacing w:line="274" w:lineRule="auto" w:before="260" w:after="0"/>
        <w:ind w:left="304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этом случае выход из отпуска с последующим переводом возможны только в сроки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 при соблюдении условий, установленных Правилами перевода студентов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бакалавриата, специалитета, магистратуры Национального исследовательского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университета «Высшая школа экономики» и студентов бакалавриата, специалитета,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магистратуры других образовательных организаций в НИУ ВШЭ.</w:t>
      </w:r>
    </w:p>
    <w:p>
      <w:pPr>
        <w:autoSpaceDN w:val="0"/>
        <w:autoSpaceDE w:val="0"/>
        <w:widowControl/>
        <w:spacing w:line="240" w:lineRule="auto" w:before="568" w:after="0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Выход из отпуска для прохождения ГИА</w:t>
      </w:r>
    </w:p>
    <w:p>
      <w:pPr>
        <w:autoSpaceDN w:val="0"/>
        <w:autoSpaceDE w:val="0"/>
        <w:widowControl/>
        <w:spacing w:line="240" w:lineRule="auto" w:before="226" w:after="0"/>
        <w:ind w:left="30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Подробная информация опубликована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справочнике учебного процесса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570" w:after="0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Документы</w:t>
      </w:r>
    </w:p>
    <w:p>
      <w:pPr>
        <w:sectPr>
          <w:pgSz w:w="11918" w:h="16858"/>
          <w:pgMar w:top="0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66" w:lineRule="auto" w:before="24" w:after="0"/>
        <w:ind w:left="300" w:right="28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Приказ Министерства образования и науки Российской Федерации «Об утверждении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Порядка и оснований предоставления академического отпуска обучающимся» от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04.04.2025 №303</w:t>
          </w:r>
        </w:hyperlink>
      </w:r>
    </w:p>
    <w:p>
      <w:pPr>
        <w:autoSpaceDN w:val="0"/>
        <w:autoSpaceDE w:val="0"/>
        <w:widowControl/>
        <w:spacing w:line="269" w:lineRule="auto" w:before="260" w:after="0"/>
        <w:ind w:left="300" w:right="28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Порядок предоставления академического отпуска, отпуска по беременности и родам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и отпуска по уходу за ребенком до достижения им возраста трех лет обучающимся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по программам бакалавриата, специалитета, магистратуры Национального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исследовательского университета  «Высшая школа экономики»</w:t>
          </w:r>
        </w:hyperlink>
      </w:r>
    </w:p>
    <w:p>
      <w:pPr>
        <w:autoSpaceDN w:val="0"/>
        <w:autoSpaceDE w:val="0"/>
        <w:widowControl/>
        <w:spacing w:line="269" w:lineRule="auto" w:before="262" w:after="0"/>
        <w:ind w:left="300" w:right="432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Порядок расчета стоимости обучения по договорам об образовании за счет средств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физического и (или) юридического лица при реализации программ высшего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образования в Национальном исследовательском университете «Высшая школа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экономики»</w:t>
          </w:r>
        </w:hyperlink>
      </w:r>
    </w:p>
    <w:p>
      <w:pPr>
        <w:autoSpaceDN w:val="0"/>
        <w:autoSpaceDE w:val="0"/>
        <w:widowControl/>
        <w:spacing w:line="271" w:lineRule="auto" w:before="260" w:after="0"/>
        <w:ind w:left="300" w:right="28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Порядок и условия восстановления лиц, отчисленных из Национального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исследовательского университета «Высшая школа экономики», и допуска студентов к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учебному процессу в связи с выходом из академического отпуска, отпуска по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беременности и родам, отпуска по уходу за ребенком до достижения возраста трех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лет</w:t>
          </w:r>
        </w:hyperlink>
      </w:r>
    </w:p>
    <w:p>
      <w:pPr>
        <w:autoSpaceDN w:val="0"/>
        <w:autoSpaceDE w:val="0"/>
        <w:widowControl/>
        <w:spacing w:line="240" w:lineRule="auto" w:before="1222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5588000</wp:posOffset>
            </wp:positionV>
            <wp:extent cx="508000" cy="2413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5969000</wp:posOffset>
            </wp:positionV>
            <wp:extent cx="1346200" cy="317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7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6457950</wp:posOffset>
            </wp:positionV>
            <wp:extent cx="228600" cy="228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3" w:lineRule="auto" w:before="964" w:after="0"/>
        <w:ind w:left="300" w:right="748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5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Фонд целевого капитала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7448550</wp:posOffset>
            </wp:positionV>
            <wp:extent cx="6877050" cy="2830793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28307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8" w:lineRule="auto" w:before="18" w:after="0"/>
        <w:ind w:left="300" w:right="24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0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3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2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00" w:lineRule="auto" w:before="200" w:after="0"/>
        <w:ind w:left="300" w:right="619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420370</wp:posOffset>
            </wp:positionV>
            <wp:extent cx="6877050" cy="1751791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7517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18" w:after="0"/>
        <w:ind w:left="300" w:right="60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4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academotpusk/" TargetMode="External"/><Relationship Id="rId12" Type="http://schemas.openxmlformats.org/officeDocument/2006/relationships/hyperlink" Target="https://www.hse.ru/studyspravka/otch/" TargetMode="External"/><Relationship Id="rId13" Type="http://schemas.openxmlformats.org/officeDocument/2006/relationships/hyperlink" Target="https://www.hse.ru/studyspravka/vosst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hyperlink" Target="https://lk.hse.ru/student-service/student-service-second?components=24329" TargetMode="External"/><Relationship Id="rId17" Type="http://schemas.openxmlformats.org/officeDocument/2006/relationships/hyperlink" Target="https://www.hse.ru/studyspravka/IGA/" TargetMode="External"/><Relationship Id="rId18" Type="http://schemas.openxmlformats.org/officeDocument/2006/relationships/hyperlink" Target="https://normativ.kontur.ru/document?moduleId=1&amp;documentId=494486" TargetMode="External"/><Relationship Id="rId19" Type="http://schemas.openxmlformats.org/officeDocument/2006/relationships/hyperlink" Target="https://www.hse.ru/docs/1083049856.html" TargetMode="External"/><Relationship Id="rId20" Type="http://schemas.openxmlformats.org/officeDocument/2006/relationships/hyperlink" Target="https://www.hse.ru/docs/941197025.html" TargetMode="External"/><Relationship Id="rId21" Type="http://schemas.openxmlformats.org/officeDocument/2006/relationships/hyperlink" Target="https://www.hse.ru/docs/1111012156.html" TargetMode="External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image" Target="media/image5.png"/><Relationship Id="rId25" Type="http://schemas.openxmlformats.org/officeDocument/2006/relationships/hyperlink" Target="https://www.hse.ru/org/hse/info/" TargetMode="External"/><Relationship Id="rId26" Type="http://schemas.openxmlformats.org/officeDocument/2006/relationships/hyperlink" Target="https://figures.hse.ru/" TargetMode="External"/><Relationship Id="rId27" Type="http://schemas.openxmlformats.org/officeDocument/2006/relationships/hyperlink" Target="https://www.hse.ru/orgstructure/" TargetMode="External"/><Relationship Id="rId28" Type="http://schemas.openxmlformats.org/officeDocument/2006/relationships/hyperlink" Target="https://sustainability.hse.ru/" TargetMode="External"/><Relationship Id="rId29" Type="http://schemas.openxmlformats.org/officeDocument/2006/relationships/hyperlink" Target="https://www.hse.ru/org/persons/" TargetMode="External"/><Relationship Id="rId30" Type="http://schemas.openxmlformats.org/officeDocument/2006/relationships/hyperlink" Target="https://www.hse.ru/buildinghse" TargetMode="External"/><Relationship Id="rId31" Type="http://schemas.openxmlformats.org/officeDocument/2006/relationships/hyperlink" Target="https://www.hse.ru/org/hse/aup/procurement/" TargetMode="External"/><Relationship Id="rId32" Type="http://schemas.openxmlformats.org/officeDocument/2006/relationships/hyperlink" Target="https://www.hse.ru/appeal/" TargetMode="External"/><Relationship Id="rId33" Type="http://schemas.openxmlformats.org/officeDocument/2006/relationships/hyperlink" Target="https://endowment.hse.ru/" TargetMode="External"/><Relationship Id="rId34" Type="http://schemas.openxmlformats.org/officeDocument/2006/relationships/hyperlink" Target="https://www.hse.ru/anticorruption" TargetMode="External"/><Relationship Id="rId35" Type="http://schemas.openxmlformats.org/officeDocument/2006/relationships/hyperlink" Target="https://www.hse.ru/anticorruption/information" TargetMode="External"/><Relationship Id="rId36" Type="http://schemas.openxmlformats.org/officeDocument/2006/relationships/hyperlink" Target="https://www.hse.ru/sveden/" TargetMode="External"/><Relationship Id="rId37" Type="http://schemas.openxmlformats.org/officeDocument/2006/relationships/hyperlink" Target="https://inclusive.hse.ru/" TargetMode="External"/><Relationship Id="rId38" Type="http://schemas.openxmlformats.org/officeDocument/2006/relationships/hyperlink" Target="https://pay.hse.ru/" TargetMode="External"/><Relationship Id="rId39" Type="http://schemas.openxmlformats.org/officeDocument/2006/relationships/hyperlink" Target="https://www.hse.ru/career" TargetMode="External"/><Relationship Id="rId40" Type="http://schemas.openxmlformats.org/officeDocument/2006/relationships/hyperlink" Target="https://www.hse.ru/education/" TargetMode="External"/><Relationship Id="rId41" Type="http://schemas.openxmlformats.org/officeDocument/2006/relationships/hyperlink" Target="https://school.hse.ru/" TargetMode="External"/><Relationship Id="rId42" Type="http://schemas.openxmlformats.org/officeDocument/2006/relationships/hyperlink" Target="https://fdp.hse.ru/" TargetMode="External"/><Relationship Id="rId43" Type="http://schemas.openxmlformats.org/officeDocument/2006/relationships/hyperlink" Target="https://olymp.hse.ru/" TargetMode="External"/><Relationship Id="rId44" Type="http://schemas.openxmlformats.org/officeDocument/2006/relationships/hyperlink" Target="https://ba.hse.ru/" TargetMode="External"/><Relationship Id="rId45" Type="http://schemas.openxmlformats.org/officeDocument/2006/relationships/hyperlink" Target="https://www.hse.ru/plus" TargetMode="External"/><Relationship Id="rId46" Type="http://schemas.openxmlformats.org/officeDocument/2006/relationships/hyperlink" Target="https://ma.hse.ru/" TargetMode="External"/><Relationship Id="rId47" Type="http://schemas.openxmlformats.org/officeDocument/2006/relationships/hyperlink" Target="https://aspirantura.hse.ru/" TargetMode="External"/><Relationship Id="rId48" Type="http://schemas.openxmlformats.org/officeDocument/2006/relationships/hyperlink" Target="https://busedu.hse.ru/" TargetMode="External"/><Relationship Id="rId49" Type="http://schemas.openxmlformats.org/officeDocument/2006/relationships/hyperlink" Target="https://career.hse.ru/" TargetMode="External"/><Relationship Id="rId50" Type="http://schemas.openxmlformats.org/officeDocument/2006/relationships/hyperlink" Target="http://inc.hse.ru/" TargetMode="External"/><Relationship Id="rId51" Type="http://schemas.openxmlformats.org/officeDocument/2006/relationships/hyperlink" Target="https://dd.hse.ru/" TargetMode="External"/><Relationship Id="rId52" Type="http://schemas.openxmlformats.org/officeDocument/2006/relationships/hyperlink" Target="https://www.hse.ru/feedback" TargetMode="External"/><Relationship Id="rId53" Type="http://schemas.openxmlformats.org/officeDocument/2006/relationships/hyperlink" Target="https://www.hse.ru/science/" TargetMode="External"/><Relationship Id="rId54" Type="http://schemas.openxmlformats.org/officeDocument/2006/relationships/hyperlink" Target="https://www.hse.ru/science/centers" TargetMode="External"/><Relationship Id="rId55" Type="http://schemas.openxmlformats.org/officeDocument/2006/relationships/hyperlink" Target="https://www.hse.ru/org/projects/" TargetMode="External"/><Relationship Id="rId56" Type="http://schemas.openxmlformats.org/officeDocument/2006/relationships/hyperlink" Target="https://www.hse.ru/monitoring/" TargetMode="External"/><Relationship Id="rId57" Type="http://schemas.openxmlformats.org/officeDocument/2006/relationships/hyperlink" Target="https://www.hse.ru/science/disscoun/" TargetMode="External"/><Relationship Id="rId58" Type="http://schemas.openxmlformats.org/officeDocument/2006/relationships/hyperlink" Target="https://aspirantura.hse.ru/defence/announcements/" TargetMode="External"/><Relationship Id="rId59" Type="http://schemas.openxmlformats.org/officeDocument/2006/relationships/hyperlink" Target="https://academics.hse.ru/" TargetMode="External"/><Relationship Id="rId60" Type="http://schemas.openxmlformats.org/officeDocument/2006/relationships/hyperlink" Target="https://www.hse.ru/science/hsegrants" TargetMode="External"/><Relationship Id="rId61" Type="http://schemas.openxmlformats.org/officeDocument/2006/relationships/hyperlink" Target="https://sezam.hse.ru/" TargetMode="External"/><Relationship Id="rId62" Type="http://schemas.openxmlformats.org/officeDocument/2006/relationships/hyperlink" Target="https://publications.hse.ru/" TargetMode="External"/><Relationship Id="rId63" Type="http://schemas.openxmlformats.org/officeDocument/2006/relationships/hyperlink" Target="https://library.hse.ru/" TargetMode="External"/><Relationship Id="rId64" Type="http://schemas.openxmlformats.org/officeDocument/2006/relationships/hyperlink" Target="https://id.hse.ru/" TargetMode="External"/><Relationship Id="rId65" Type="http://schemas.openxmlformats.org/officeDocument/2006/relationships/hyperlink" Target="https://bookshop.hse.ru/" TargetMode="External"/><Relationship Id="rId66" Type="http://schemas.openxmlformats.org/officeDocument/2006/relationships/hyperlink" Target="https://print.hse.ru/" TargetMode="External"/><Relationship Id="rId67" Type="http://schemas.openxmlformats.org/officeDocument/2006/relationships/hyperlink" Target="https://mc.hse.ru/" TargetMode="External"/><Relationship Id="rId68" Type="http://schemas.openxmlformats.org/officeDocument/2006/relationships/hyperlink" Target="https://www.hse.ru/science/journals" TargetMode="External"/><Relationship Id="rId69" Type="http://schemas.openxmlformats.org/officeDocument/2006/relationships/hyperlink" Target="http://www.minobrnauki.gov.ru/" TargetMode="External"/><Relationship Id="rId70" Type="http://schemas.openxmlformats.org/officeDocument/2006/relationships/image" Target="media/image6.png"/><Relationship Id="rId71" Type="http://schemas.openxmlformats.org/officeDocument/2006/relationships/hyperlink" Target="https://edu.gov.ru/" TargetMode="External"/><Relationship Id="rId72" Type="http://schemas.openxmlformats.org/officeDocument/2006/relationships/hyperlink" Target="http://www.edu.ru/" TargetMode="External"/><Relationship Id="rId73" Type="http://schemas.openxmlformats.org/officeDocument/2006/relationships/hyperlink" Target="https://elearning.hse.ru/mooc" TargetMode="External"/><Relationship Id="rId74" Type="http://schemas.openxmlformats.org/officeDocument/2006/relationships/hyperlink" Target="https://www.hse.ru/adm/edit/edit.html?goto=%2AL3N0dWR5c3ByYXZrYS9yZXR1cm5fYWNhZGVtP19yPTM2MjI1ODExNzc1MDgxNTY5LjYyNjky%5E&amp;id=1111738862&amp;cid=20594&amp;addon_name=default&amp;newportal=1" TargetMode="External"/><Relationship Id="rId75" Type="http://schemas.openxmlformats.org/officeDocument/2006/relationships/hyperlink" Target="https://www.hse.ru/contacts.html" TargetMode="External"/><Relationship Id="rId76" Type="http://schemas.openxmlformats.org/officeDocument/2006/relationships/hyperlink" Target="https://www.hse.ru/copyright" TargetMode="External"/><Relationship Id="rId77" Type="http://schemas.openxmlformats.org/officeDocument/2006/relationships/hyperlink" Target="https://www.hse.ru/data_protection_regulation" TargetMode="External"/><Relationship Id="rId78" Type="http://schemas.openxmlformats.org/officeDocument/2006/relationships/hyperlink" Target="https://www.hse.ru/sitemap.html" TargetMode="External"/><Relationship Id="rId79" Type="http://schemas.openxmlformats.org/officeDocument/2006/relationships/hyperlink" Target="https://design.hse.ru/" TargetMode="External"/><Relationship Id="rId80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