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Российская академическая мобильность</w:t>
      </w:r>
    </w:p>
    <w:p>
      <w:pPr>
        <w:autoSpaceDN w:val="0"/>
        <w:autoSpaceDE w:val="0"/>
        <w:widowControl/>
        <w:spacing w:line="240" w:lineRule="auto" w:before="48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7"/>
        </w:rPr>
        <w:t xml:space="preserve">Что такое российская академическая мобильность?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Российская академическая мобильность подразумевает под собой обучение в другом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ВУЗе Российской Федерации по любой форме обучения.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основании решения академического совета базовой ОП (в случае отсутствия –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решения академического руководителя) студентам может быть рекомендован список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дисциплин, реализуемых в образовательных организациях РФ, либо учебных занятий,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организованных на базе научных организаций, а также семинаров, организованных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образовательными организациями РФ, которые могут быть перезачтены студентам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качестве дисциплин, соответствующих образовательной программе.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Рекомендованный список публикуется в открытом доступе на странице ОП.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 имеете право изучать дисциплины из рекомендованного списка, которые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дальнейшем могут быть перезачтены в качестве дисциплин, соответствующих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программе факультета.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Важно: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Все расходы, связанные с участием студента в российской академической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мобильности, оплачиваются студентом самостоятельно.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7152640</wp:posOffset>
            </wp:positionV>
            <wp:extent cx="190500" cy="1727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Заявление о перезачете по краткосрочной программе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(DOCX, 15 Кб) </w:t>
      </w:r>
    </w:p>
    <w:p>
      <w:pPr>
        <w:autoSpaceDN w:val="0"/>
        <w:autoSpaceDE w:val="0"/>
        <w:widowControl/>
        <w:spacing w:line="245" w:lineRule="auto" w:before="4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 – участник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краткосрочной российской академической мобильности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основании заявления имеет право на включение дисциплины или ряда дисциплин: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свой учебный план (в том числе в качестве факультатива) текущего и/или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будущего периода обучения и/или о перезачете кредитов и полученных оценок;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список дисциплин приложения к диплому и/или о зачете в качестве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факультатива сверх нормативного количества кредитов базового учебного плана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направления обучения с возможностью учета в кумулятивном рейтинге текущего и/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будущего периода.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1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Если сертификат не содержит точного указания баллов по 10-балльной шкале,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аттестационная комиссия базовой ОП устанавливает соответствие между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оценками из сертификата и оценками, принятыми в НИУ ВШЭ. В случае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недифференцированного зачета оценка сохраняется у студента как «зачтено» и не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учитывается в рейтинге. </w:t>
      </w:r>
    </w:p>
    <w:p>
      <w:pPr>
        <w:autoSpaceDN w:val="0"/>
        <w:autoSpaceDE w:val="0"/>
        <w:widowControl/>
        <w:spacing w:line="245" w:lineRule="auto" w:before="426" w:after="0"/>
        <w:ind w:left="300" w:right="306" w:firstLine="0"/>
        <w:jc w:val="both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Важно: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По решению аттестационной комиссии базовой ОП студенту может быть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отказано в перезачете оценки, полученной в ходе краткосрочной российской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академической мобильности, с указанием причины отказа.</w:t>
      </w:r>
    </w:p>
    <w:p>
      <w:pPr>
        <w:autoSpaceDN w:val="0"/>
        <w:autoSpaceDE w:val="0"/>
        <w:widowControl/>
        <w:spacing w:line="254" w:lineRule="auto" w:before="860" w:after="0"/>
        <w:ind w:left="300" w:right="115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7"/>
        </w:rPr>
        <w:t>Как я могу принять участие в долгосрочной российской академической</w:t>
      </w:r>
      <w:r>
        <w:rPr>
          <w:rFonts w:ascii="Segoe UI Semibold" w:hAnsi="Segoe UI Semibold" w:eastAsia="Segoe UI Semibold"/>
          <w:b/>
          <w:i w:val="0"/>
          <w:color w:val="000000"/>
          <w:sz w:val="27"/>
        </w:rPr>
        <w:t xml:space="preserve">мобильности? </w:t>
      </w:r>
    </w:p>
    <w:p>
      <w:pPr>
        <w:autoSpaceDN w:val="0"/>
        <w:autoSpaceDE w:val="0"/>
        <w:widowControl/>
        <w:spacing w:line="264" w:lineRule="auto" w:before="496" w:after="178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Вам необходимо подать личное заявление на имя академического руководителя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базовой ОП об участии в российской академической мобильности.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456"/>
        </w:trPr>
        <w:tc>
          <w:tcPr>
            <w:tcW w:type="dxa" w:w="324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4544060</wp:posOffset>
                  </wp:positionV>
                  <wp:extent cx="190500" cy="17017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9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5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Заявление о перезачете по долгосрочной программе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(DOCX, 17 Кб) </w:t>
            </w:r>
          </w:p>
        </w:tc>
      </w:tr>
    </w:tbl>
    <w:p>
      <w:pPr>
        <w:autoSpaceDN w:val="0"/>
        <w:autoSpaceDE w:val="0"/>
        <w:widowControl/>
        <w:spacing w:line="262" w:lineRule="auto" w:before="226" w:after="0"/>
        <w:ind w:left="30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7"/>
        </w:rPr>
        <w:t>Кто принимает решение об участии в российской академической</w:t>
      </w:r>
      <w:r>
        <w:rPr>
          <w:rFonts w:ascii="Segoe UI Semibold" w:hAnsi="Segoe UI Semibold" w:eastAsia="Segoe UI Semibold"/>
          <w:b/>
          <w:i w:val="0"/>
          <w:color w:val="000000"/>
          <w:sz w:val="27"/>
        </w:rPr>
        <w:t>мобильности?</w:t>
      </w:r>
    </w:p>
    <w:p>
      <w:pPr>
        <w:autoSpaceDN w:val="0"/>
        <w:autoSpaceDE w:val="0"/>
        <w:widowControl/>
        <w:spacing w:line="269" w:lineRule="auto" w:before="496" w:after="178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 Вашем участии в долгосрочной российской академической мобильности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будет принято академическим руководителей базовой ОП по согласованию c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уполномоченным представителем образовательной организации РФ, на базе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которой организовано обучение по выбранной Вами образовательной программе.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456"/>
        </w:trPr>
        <w:tc>
          <w:tcPr>
            <w:tcW w:type="dxa" w:w="324"/>
            <w:tcBorders>
              <w:bottom w:sz="6.399999999999636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6868159</wp:posOffset>
                  </wp:positionV>
                  <wp:extent cx="190500" cy="17018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90"/>
            <w:tcBorders>
              <w:bottom w:sz="6.399999999999636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5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Заявление на мобильность в РФ долгосрочная программа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(DOC, 32 Кб) </w:t>
            </w:r>
          </w:p>
        </w:tc>
      </w:tr>
    </w:tbl>
    <w:p>
      <w:pPr>
        <w:autoSpaceDN w:val="0"/>
        <w:autoSpaceDE w:val="0"/>
        <w:widowControl/>
        <w:spacing w:line="259" w:lineRule="auto" w:before="242" w:after="0"/>
        <w:ind w:left="300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7"/>
        </w:rPr>
        <w:t>Кто оплачивает образовательные услуги при долгосрочной академической</w:t>
      </w:r>
      <w:r>
        <w:rPr>
          <w:rFonts w:ascii="Segoe UI Semibold" w:hAnsi="Segoe UI Semibold" w:eastAsia="Segoe UI Semibold"/>
          <w:b/>
          <w:i w:val="0"/>
          <w:color w:val="000000"/>
          <w:sz w:val="27"/>
        </w:rPr>
        <w:t>мобильности?</w:t>
      </w:r>
    </w:p>
    <w:p>
      <w:pPr>
        <w:autoSpaceDN w:val="0"/>
        <w:autoSpaceDE w:val="0"/>
        <w:widowControl/>
        <w:spacing w:line="266" w:lineRule="auto" w:before="272" w:after="0"/>
        <w:ind w:left="3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Студент, принимающий участие в долгосрочной российской академической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мобильности и обучающийся в НИУ ВШЭ на договорной основе, оплачивает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образовательные услуги по договору в полном объеме.</w:t>
      </w:r>
    </w:p>
    <w:p>
      <w:pPr>
        <w:autoSpaceDN w:val="0"/>
        <w:autoSpaceDE w:val="0"/>
        <w:widowControl/>
        <w:spacing w:line="240" w:lineRule="auto" w:before="122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9436100</wp:posOffset>
            </wp:positionV>
            <wp:extent cx="508000" cy="241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9817100</wp:posOffset>
            </wp:positionV>
            <wp:extent cx="1346200" cy="317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08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561340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9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4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Мониторинги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1485900</wp:posOffset>
            </wp:positionV>
            <wp:extent cx="6877050" cy="45698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7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hse.ru/data/2021/08/04/1425450159/%D0%9F%D1%80%D0%B8%D0%BB%D0%BE%D0%B6%D0%B5%D0%BD%D0%B8%D0%B5%204_%D0%97%D0%B0%D1%8F%D0%B2%D0%BB%D0%B5%D0%BD%D0%B8%D0%B5%20%D0%BE%20%D0%BF%D0%B5%D1%80%D0%B5%D0%B7%D0%B0%D1%87%D0%B5%D1%82%D0%B5%20%D0%BF%D0%BE%20%D0%BA%D1%80%D0%B0%D1%82%D0%BA%D0%BE%D1%81%D1%80%D0%BE%D1%87%D0%BD%D0%BE%D0%B9%20%D0%BF%D1%80%D0%BE%D0%B3%D1%80%D0%B0%D0%BC%D0%BC%D0%B5.docx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hse.ru/data/2021/08/04/1425450079/%D0%9F%D1%80%D0%B8%D0%BB%D0%BE%D0%B6%D0%B5%D0%BD%D0%B8%D0%B5%203_%D0%97%D0%B0%D1%8F%D0%B2%D0%BB%D0%B5%D0%BD%D0%B8%D0%B5%20%D0%BE%20%D0%BF%D0%B5%D1%80%D0%B5%D0%B7%D0%B0%D1%87%D0%B5%D1%82%D0%B5%20%D0%BF%D0%BE%20%D0%B4%D0%BE%D0%BB%D0%B3%D0%BE%D1%81%D1%80%D0%BE%D1%87%D0%BD%D0%BE%D0%B9%20%D0%BF%D1%80%D0%BE%D0%B3%D1%80%D0%B0%D0%BC%D0%BC%D0%B5.docx" TargetMode="External"/><Relationship Id="rId15" Type="http://schemas.openxmlformats.org/officeDocument/2006/relationships/hyperlink" Target="https://www.hse.ru/data/2021/08/04/1425450057/%D0%9F%D1%80%D0%B8%D0%BB%D0%BE%D0%B6%D0%B5%D0%BD%D0%B8%D0%B5%206_%D0%97%D0%B0%D1%8F%D0%B2%D0%BB%D0%B5%D0%BD%D0%B8%D0%B5%20%D0%BD%D0%B0%20%D0%BC%D0%BE%D0%B1%D0%B8%D0%BB%D1%8C%D0%BD%D0%BE%D1%81%D1%82%D1%8C%20%D0%B2%20%D0%A0%D0%A4%20%D0%B4%D0%BE%D0%BB%D0%B3%D0%BE%D1%81%D1%80%D0%BE%D1%87%D0%BD%D0%B0%D1%8F%20%D0%BF%D1%80%D0%BE%D0%B3%D1%80%D0%B0%D0%BC%D0%BC%D0%B0.doc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www.hse.ru/org/hse/info/" TargetMode="External"/><Relationship Id="rId20" Type="http://schemas.openxmlformats.org/officeDocument/2006/relationships/hyperlink" Target="https://figures.hse.ru/" TargetMode="External"/><Relationship Id="rId21" Type="http://schemas.openxmlformats.org/officeDocument/2006/relationships/hyperlink" Target="https://www.hse.ru/orgstructure/" TargetMode="External"/><Relationship Id="rId22" Type="http://schemas.openxmlformats.org/officeDocument/2006/relationships/hyperlink" Target="https://sustainability.hse.ru/" TargetMode="External"/><Relationship Id="rId23" Type="http://schemas.openxmlformats.org/officeDocument/2006/relationships/hyperlink" Target="https://www.hse.ru/org/persons/" TargetMode="External"/><Relationship Id="rId24" Type="http://schemas.openxmlformats.org/officeDocument/2006/relationships/hyperlink" Target="https://www.hse.ru/buildinghse" TargetMode="External"/><Relationship Id="rId25" Type="http://schemas.openxmlformats.org/officeDocument/2006/relationships/hyperlink" Target="https://www.hse.ru/org/hse/aup/procurement/" TargetMode="External"/><Relationship Id="rId26" Type="http://schemas.openxmlformats.org/officeDocument/2006/relationships/hyperlink" Target="https://www.hse.ru/appeal/" TargetMode="External"/><Relationship Id="rId27" Type="http://schemas.openxmlformats.org/officeDocument/2006/relationships/hyperlink" Target="https://endowment.hse.ru/" TargetMode="External"/><Relationship Id="rId28" Type="http://schemas.openxmlformats.org/officeDocument/2006/relationships/hyperlink" Target="https://www.hse.ru/anticorruption" TargetMode="External"/><Relationship Id="rId29" Type="http://schemas.openxmlformats.org/officeDocument/2006/relationships/hyperlink" Target="https://www.hse.ru/anticorruption/information" TargetMode="External"/><Relationship Id="rId30" Type="http://schemas.openxmlformats.org/officeDocument/2006/relationships/hyperlink" Target="https://www.hse.ru/sveden/" TargetMode="External"/><Relationship Id="rId31" Type="http://schemas.openxmlformats.org/officeDocument/2006/relationships/hyperlink" Target="https://inclusive.hse.ru/" TargetMode="External"/><Relationship Id="rId32" Type="http://schemas.openxmlformats.org/officeDocument/2006/relationships/hyperlink" Target="https://pay.hse.ru/" TargetMode="External"/><Relationship Id="rId33" Type="http://schemas.openxmlformats.org/officeDocument/2006/relationships/hyperlink" Target="https://www.hse.ru/career" TargetMode="External"/><Relationship Id="rId34" Type="http://schemas.openxmlformats.org/officeDocument/2006/relationships/hyperlink" Target="https://www.hse.ru/education/" TargetMode="External"/><Relationship Id="rId35" Type="http://schemas.openxmlformats.org/officeDocument/2006/relationships/hyperlink" Target="https://school.hse.ru/" TargetMode="External"/><Relationship Id="rId36" Type="http://schemas.openxmlformats.org/officeDocument/2006/relationships/hyperlink" Target="https://fdp.hse.ru/" TargetMode="External"/><Relationship Id="rId37" Type="http://schemas.openxmlformats.org/officeDocument/2006/relationships/hyperlink" Target="https://olymp.hse.ru/" TargetMode="External"/><Relationship Id="rId38" Type="http://schemas.openxmlformats.org/officeDocument/2006/relationships/hyperlink" Target="https://ba.hse.ru/" TargetMode="External"/><Relationship Id="rId39" Type="http://schemas.openxmlformats.org/officeDocument/2006/relationships/hyperlink" Target="https://www.hse.ru/plus" TargetMode="External"/><Relationship Id="rId40" Type="http://schemas.openxmlformats.org/officeDocument/2006/relationships/hyperlink" Target="https://ma.hse.ru/" TargetMode="External"/><Relationship Id="rId41" Type="http://schemas.openxmlformats.org/officeDocument/2006/relationships/hyperlink" Target="https://aspirantura.hse.ru/" TargetMode="External"/><Relationship Id="rId42" Type="http://schemas.openxmlformats.org/officeDocument/2006/relationships/hyperlink" Target="https://busedu.hse.ru/" TargetMode="External"/><Relationship Id="rId43" Type="http://schemas.openxmlformats.org/officeDocument/2006/relationships/hyperlink" Target="https://career.hse.ru/" TargetMode="External"/><Relationship Id="rId44" Type="http://schemas.openxmlformats.org/officeDocument/2006/relationships/hyperlink" Target="http://inc.hse.ru/" TargetMode="External"/><Relationship Id="rId45" Type="http://schemas.openxmlformats.org/officeDocument/2006/relationships/hyperlink" Target="https://dd.hse.ru/" TargetMode="External"/><Relationship Id="rId46" Type="http://schemas.openxmlformats.org/officeDocument/2006/relationships/hyperlink" Target="https://www.hse.ru/feedback" TargetMode="External"/><Relationship Id="rId47" Type="http://schemas.openxmlformats.org/officeDocument/2006/relationships/hyperlink" Target="https://www.hse.ru/science/" TargetMode="External"/><Relationship Id="rId48" Type="http://schemas.openxmlformats.org/officeDocument/2006/relationships/hyperlink" Target="https://www.hse.ru/science/centers" TargetMode="External"/><Relationship Id="rId49" Type="http://schemas.openxmlformats.org/officeDocument/2006/relationships/hyperlink" Target="https://www.hse.ru/org/projects/" TargetMode="External"/><Relationship Id="rId50" Type="http://schemas.openxmlformats.org/officeDocument/2006/relationships/hyperlink" Target="https://www.hse.ru/monitoring/" TargetMode="External"/><Relationship Id="rId51" Type="http://schemas.openxmlformats.org/officeDocument/2006/relationships/hyperlink" Target="https://www.hse.ru/science/disscoun/" TargetMode="External"/><Relationship Id="rId52" Type="http://schemas.openxmlformats.org/officeDocument/2006/relationships/hyperlink" Target="https://aspirantura.hse.ru/defence/announcements/" TargetMode="External"/><Relationship Id="rId53" Type="http://schemas.openxmlformats.org/officeDocument/2006/relationships/hyperlink" Target="https://academics.hse.ru/" TargetMode="External"/><Relationship Id="rId54" Type="http://schemas.openxmlformats.org/officeDocument/2006/relationships/hyperlink" Target="https://www.hse.ru/science/hsegrants" TargetMode="External"/><Relationship Id="rId55" Type="http://schemas.openxmlformats.org/officeDocument/2006/relationships/hyperlink" Target="https://sezam.hse.ru/" TargetMode="External"/><Relationship Id="rId56" Type="http://schemas.openxmlformats.org/officeDocument/2006/relationships/hyperlink" Target="https://publications.hse.ru/" TargetMode="External"/><Relationship Id="rId57" Type="http://schemas.openxmlformats.org/officeDocument/2006/relationships/hyperlink" Target="https://library.hse.ru/" TargetMode="External"/><Relationship Id="rId58" Type="http://schemas.openxmlformats.org/officeDocument/2006/relationships/hyperlink" Target="https://id.hse.ru/" TargetMode="External"/><Relationship Id="rId59" Type="http://schemas.openxmlformats.org/officeDocument/2006/relationships/hyperlink" Target="https://bookshop.hse.ru/" TargetMode="External"/><Relationship Id="rId60" Type="http://schemas.openxmlformats.org/officeDocument/2006/relationships/hyperlink" Target="https://print.hse.ru/" TargetMode="External"/><Relationship Id="rId61" Type="http://schemas.openxmlformats.org/officeDocument/2006/relationships/hyperlink" Target="https://mc.hse.ru/" TargetMode="External"/><Relationship Id="rId62" Type="http://schemas.openxmlformats.org/officeDocument/2006/relationships/hyperlink" Target="https://www.hse.ru/science/journals" TargetMode="External"/><Relationship Id="rId63" Type="http://schemas.openxmlformats.org/officeDocument/2006/relationships/hyperlink" Target="http://www.minobrnauki.gov.ru/" TargetMode="External"/><Relationship Id="rId64" Type="http://schemas.openxmlformats.org/officeDocument/2006/relationships/hyperlink" Target="https://edu.gov.ru/" TargetMode="External"/><Relationship Id="rId65" Type="http://schemas.openxmlformats.org/officeDocument/2006/relationships/hyperlink" Target="http://www.edu.ru/" TargetMode="External"/><Relationship Id="rId66" Type="http://schemas.openxmlformats.org/officeDocument/2006/relationships/hyperlink" Target="https://elearning.hse.ru/mooc" TargetMode="External"/><Relationship Id="rId67" Type="http://schemas.openxmlformats.org/officeDocument/2006/relationships/hyperlink" Target="https://www.hse.ru/adm/edit/edit.html?goto=%2AL3N0dWR5c3ByYXZrYS9yb3Ntb2I%2FX3I9MzYyNDIyMDE3NzUwODI1MjEuODkzNzk%3D%5E&amp;id=142371440&amp;cid=20594&amp;addon_name=default&amp;newportal=1" TargetMode="External"/><Relationship Id="rId68" Type="http://schemas.openxmlformats.org/officeDocument/2006/relationships/hyperlink" Target="https://www.hse.ru/contacts.html" TargetMode="External"/><Relationship Id="rId69" Type="http://schemas.openxmlformats.org/officeDocument/2006/relationships/hyperlink" Target="https://www.hse.ru/copyright" TargetMode="External"/><Relationship Id="rId70" Type="http://schemas.openxmlformats.org/officeDocument/2006/relationships/hyperlink" Target="https://www.hse.ru/data_protection_regulation" TargetMode="External"/><Relationship Id="rId71" Type="http://schemas.openxmlformats.org/officeDocument/2006/relationships/hyperlink" Target="https://www.hse.ru/sitemap.html" TargetMode="External"/><Relationship Id="rId72" Type="http://schemas.openxmlformats.org/officeDocument/2006/relationships/hyperlink" Target="https://design.hse.ru/" TargetMode="External"/><Relationship Id="rId7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