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Скидки на оплату обучения для студентов НИУ ВШЭ-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Санкт-Петербург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34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ВШЭ-Санкт-Петербург</w:t>
            </w:r>
          </w:p>
        </w:tc>
        <w:tc>
          <w:tcPr>
            <w:tcW w:type="dxa" w:w="41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2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НИУ ВШЭ-Пермь</w:t>
          </w:r>
        </w:hyperlink>
      </w:r>
    </w:p>
    <w:p>
      <w:pPr>
        <w:autoSpaceDN w:val="0"/>
        <w:autoSpaceDE w:val="0"/>
        <w:widowControl/>
        <w:spacing w:line="240" w:lineRule="auto" w:before="57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Виды скидок</w:t>
      </w:r>
    </w:p>
    <w:p>
      <w:pPr>
        <w:autoSpaceDN w:val="0"/>
        <w:autoSpaceDE w:val="0"/>
        <w:widowControl/>
        <w:spacing w:line="257" w:lineRule="auto" w:before="216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уровне кампуса НИУ ВШЭ – Санкт-Петербург действуют следующие основные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категории скидок: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Централизованные скидки</w:t>
      </w:r>
    </w:p>
    <w:p>
      <w:pPr>
        <w:autoSpaceDN w:val="0"/>
        <w:autoSpaceDE w:val="0"/>
        <w:widowControl/>
        <w:spacing w:line="264" w:lineRule="auto" w:before="262" w:after="0"/>
        <w:ind w:left="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Устанавливаются по единому Положению университета и предоставляются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основании:</w:t>
      </w:r>
    </w:p>
    <w:p>
      <w:pPr>
        <w:autoSpaceDN w:val="0"/>
        <w:autoSpaceDE w:val="0"/>
        <w:widowControl/>
        <w:spacing w:line="240" w:lineRule="auto" w:before="260" w:after="0"/>
        <w:ind w:left="6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результатам приёма на обучение;</w:t>
      </w:r>
    </w:p>
    <w:p>
      <w:pPr>
        <w:autoSpaceDN w:val="0"/>
        <w:autoSpaceDE w:val="0"/>
        <w:widowControl/>
        <w:spacing w:line="257" w:lineRule="auto" w:before="246" w:after="0"/>
        <w:ind w:left="60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итогам предыдущего учебного года в программах бакалавриата (начиная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 второго года обучения);</w:t>
      </w:r>
    </w:p>
    <w:p>
      <w:pPr>
        <w:autoSpaceDN w:val="0"/>
        <w:autoSpaceDE w:val="0"/>
        <w:widowControl/>
        <w:spacing w:line="259" w:lineRule="auto" w:before="246" w:after="0"/>
        <w:ind w:left="6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работникам НИУ ВШЭ и членам их семей – при поступлении и по результатам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в зависимости от стажа и успеваемости.</w:t>
      </w:r>
    </w:p>
    <w:p>
      <w:pPr>
        <w:autoSpaceDN w:val="0"/>
        <w:autoSpaceDE w:val="0"/>
        <w:widowControl/>
        <w:spacing w:line="266" w:lineRule="auto" w:before="260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/>
          <w:i/>
          <w:color w:val="000000"/>
          <w:sz w:val="26"/>
        </w:rPr>
        <w:t>Важно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: централизованная скидка может быть установлена только по одному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основанию (при наличии нескольких оснований обучающийся выбирает наиболее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выгодное).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Скидки за счёт бюджета факультета</w:t>
      </w:r>
    </w:p>
    <w:p>
      <w:pPr>
        <w:autoSpaceDN w:val="0"/>
        <w:autoSpaceDE w:val="0"/>
        <w:widowControl/>
        <w:spacing w:line="257" w:lineRule="auto" w:before="262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Предоставляются на основании локальных нормативных актов соответствующего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факультета или подразделения.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3210560</wp:posOffset>
            </wp:positionH>
            <wp:positionV relativeFrom="page">
              <wp:posOffset>990600</wp:posOffset>
            </wp:positionV>
            <wp:extent cx="190500" cy="190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6502400" cy="1066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66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1534"/>
        </w:trPr>
        <w:tc>
          <w:tcPr>
            <w:tcW w:type="dxa" w:w="7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0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Централизованные скидки при поступлении в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бакалавриат/специалитет </w:t>
            </w:r>
          </w:p>
        </w:tc>
        <w:tc>
          <w:tcPr>
            <w:tcW w:type="dxa" w:w="2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8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  <w:tr>
        <w:trPr>
          <w:trHeight w:hRule="exact" w:val="1276"/>
        </w:trPr>
        <w:tc>
          <w:tcPr>
            <w:tcW w:type="dxa" w:w="9304"/>
            <w:gridSpan w:val="2"/>
            <w:tcBorders/>
            <w:shd w:fill="def4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Централизованные скидки при поступлении в магистратуру </w:t>
            </w:r>
          </w:p>
        </w:tc>
        <w:tc>
          <w:tcPr>
            <w:tcW w:type="dxa" w:w="91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6457950</wp:posOffset>
                  </wp:positionH>
                  <wp:positionV relativeFrom="page">
                    <wp:posOffset>1991360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1636"/>
        </w:trPr>
        <w:tc>
          <w:tcPr>
            <w:tcW w:type="dxa" w:w="10214"/>
            <w:tcBorders/>
            <w:shd w:fill="effa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172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Централизованные скидки по результатам обучения в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бакалавриате/специалитете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3418840</wp:posOffset>
                  </wp:positionH>
                  <wp:positionV relativeFrom="page">
                    <wp:posOffset>3219450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4"/>
        </w:trPr>
        <w:tc>
          <w:tcPr>
            <w:tcW w:type="dxa" w:w="546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Скидки за счет средств факультета </w:t>
            </w:r>
          </w:p>
        </w:tc>
        <w:tc>
          <w:tcPr>
            <w:tcW w:type="dxa" w:w="475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4028440</wp:posOffset>
                  </wp:positionH>
                  <wp:positionV relativeFrom="page">
                    <wp:posOffset>4218940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4"/>
        </w:trPr>
        <w:tc>
          <w:tcPr>
            <w:tcW w:type="dxa" w:w="324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Назначение скидок </w:t>
            </w:r>
          </w:p>
        </w:tc>
        <w:tc>
          <w:tcPr>
            <w:tcW w:type="dxa" w:w="697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2618740</wp:posOffset>
                  </wp:positionH>
                  <wp:positionV relativeFrom="page">
                    <wp:posOffset>5219700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810"/>
        </w:trPr>
        <w:tc>
          <w:tcPr>
            <w:tcW w:type="dxa" w:w="10214"/>
            <w:gridSpan w:val="2"/>
            <w:tcBorders/>
            <w:shd w:fill="f5f5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6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Условия получения скидки по результатам обучения в</w:t>
            </w:r>
          </w:p>
        </w:tc>
      </w:tr>
      <w:tr>
        <w:trPr>
          <w:trHeight w:hRule="exact" w:val="842"/>
        </w:trPr>
        <w:tc>
          <w:tcPr>
            <w:tcW w:type="dxa" w:w="450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бакалавриате/специалитете </w:t>
            </w:r>
          </w:p>
        </w:tc>
        <w:tc>
          <w:tcPr>
            <w:tcW w:type="dxa" w:w="571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3418840</wp:posOffset>
                  </wp:positionH>
                  <wp:positionV relativeFrom="page">
                    <wp:posOffset>6457950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4"/>
        </w:trPr>
        <w:tc>
          <w:tcPr>
            <w:tcW w:type="dxa" w:w="512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Основания для лишения скидки </w:t>
            </w:r>
          </w:p>
        </w:tc>
        <w:tc>
          <w:tcPr>
            <w:tcW w:type="dxa" w:w="509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3810000</wp:posOffset>
                  </wp:positionH>
                  <wp:positionV relativeFrom="page">
                    <wp:posOffset>7457440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2" w:after="282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Скидки для иностранных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54"/>
        </w:trPr>
        <w:tc>
          <w:tcPr>
            <w:tcW w:type="dxa" w:w="562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Скидки для иностранных студентов </w:t>
            </w:r>
          </w:p>
        </w:tc>
        <w:tc>
          <w:tcPr>
            <w:tcW w:type="dxa" w:w="459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4124960</wp:posOffset>
                  </wp:positionH>
                  <wp:positionV relativeFrom="page">
                    <wp:posOffset>9286240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544" w:right="828" w:bottom="734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648"/>
        </w:trPr>
        <w:tc>
          <w:tcPr>
            <w:tcW w:type="dxa" w:w="90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04"/>
            </w:tblGrid>
            <w:tr>
              <w:trPr>
                <w:trHeight w:hRule="exact" w:val="1628"/>
              </w:trPr>
              <w:tc>
                <w:tcPr>
                  <w:tcW w:type="dxa" w:w="900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для иностранных студентов при поступлении на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образовательные программы баклавриата / специалитета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4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6276340</wp:posOffset>
                  </wp:positionH>
                  <wp:positionV relativeFrom="page">
                    <wp:posOffset>990600</wp:posOffset>
                  </wp:positionV>
                  <wp:extent cx="190500" cy="1905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иностранным студентам при поступлении на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6"/>
        </w:trPr>
        <w:tc>
          <w:tcPr>
            <w:tcW w:type="dxa" w:w="6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образовательные программы магистратуры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33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4942840</wp:posOffset>
                  </wp:positionH>
                  <wp:positionV relativeFrom="page">
                    <wp:posOffset>2228850</wp:posOffset>
                  </wp:positionV>
                  <wp:extent cx="190500" cy="1905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64" w:lineRule="auto" w:before="214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Положение о предоставлении скидок по оплате обучения студентам и слушателям,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обучающимся по договорам об образовании, заключаемым при приеме на обучение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за счет средств физических и (или) юридических лиц в НИУ ВШЭ – Санкт-Петербург</w:t>
          </w:r>
        </w:hyperlink>
      </w:r>
    </w:p>
    <w:p>
      <w:pPr>
        <w:autoSpaceDN w:val="0"/>
        <w:autoSpaceDE w:val="0"/>
        <w:widowControl/>
        <w:spacing w:line="266" w:lineRule="auto" w:before="260" w:after="0"/>
        <w:ind w:left="300" w:right="129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Порядок заключения, изменения и расторжения договоров об образовании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(оказании платных образовательных услуг)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высшего образования, реализуемым НИУ ВШЭ – Санкт-Петербург</w:t>
          </w:r>
        </w:hyperlink>
      </w:r>
    </w:p>
    <w:p>
      <w:pPr>
        <w:autoSpaceDN w:val="0"/>
        <w:autoSpaceDE w:val="0"/>
        <w:widowControl/>
        <w:spacing w:line="271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Положение о предоставлении скидок по оплате обучения иностранным гражданам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лицам без гражданства, поступающим на обучение в НИУ ВШЭ – Санкт-Петербург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2024 году по образовательным программам высшего образования в рамках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отдельного конкурса на места по договорам об оказании платных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услуг за счет средств физических и (или) юридических лиц</w:t>
          </w:r>
        </w:hyperlink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7442200</wp:posOffset>
            </wp:positionV>
            <wp:extent cx="508000" cy="241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7823200</wp:posOffset>
            </wp:positionV>
            <wp:extent cx="1346200" cy="317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8324850</wp:posOffset>
            </wp:positionV>
            <wp:extent cx="228600" cy="228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7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9514840</wp:posOffset>
            </wp:positionV>
            <wp:extent cx="6877050" cy="77116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771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288" w:right="9360" w:firstLine="0"/>
        <w:jc w:val="center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Библиотека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381141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8114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skidki_p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www.hse.ru/docs/366452569.html" TargetMode="External"/><Relationship Id="rId17" Type="http://schemas.openxmlformats.org/officeDocument/2006/relationships/hyperlink" Target="https://www.hse.ru/docs/803790473.html" TargetMode="External"/><Relationship Id="rId18" Type="http://schemas.openxmlformats.org/officeDocument/2006/relationships/hyperlink" Target="https://www.hse.ru/docs/990158399.html" TargetMode="Externa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hyperlink" Target="https://www.hse.ru/anticorruption/information" TargetMode="External"/><Relationship Id="rId33" Type="http://schemas.openxmlformats.org/officeDocument/2006/relationships/hyperlink" Target="https://www.hse.ru/sveden/" TargetMode="External"/><Relationship Id="rId34" Type="http://schemas.openxmlformats.org/officeDocument/2006/relationships/hyperlink" Target="https://inclusive.hse.ru/" TargetMode="External"/><Relationship Id="rId35" Type="http://schemas.openxmlformats.org/officeDocument/2006/relationships/hyperlink" Target="https://pay.hse.ru/" TargetMode="External"/><Relationship Id="rId36" Type="http://schemas.openxmlformats.org/officeDocument/2006/relationships/hyperlink" Target="https://www.hse.ru/career" TargetMode="External"/><Relationship Id="rId37" Type="http://schemas.openxmlformats.org/officeDocument/2006/relationships/hyperlink" Target="https://www.hse.ru/education/" TargetMode="External"/><Relationship Id="rId38" Type="http://schemas.openxmlformats.org/officeDocument/2006/relationships/hyperlink" Target="https://school.hse.ru/" TargetMode="External"/><Relationship Id="rId39" Type="http://schemas.openxmlformats.org/officeDocument/2006/relationships/hyperlink" Target="https://fdp.hse.ru/" TargetMode="External"/><Relationship Id="rId40" Type="http://schemas.openxmlformats.org/officeDocument/2006/relationships/hyperlink" Target="https://olymp.hse.ru/" TargetMode="External"/><Relationship Id="rId41" Type="http://schemas.openxmlformats.org/officeDocument/2006/relationships/hyperlink" Target="https://ba.hse.ru/" TargetMode="External"/><Relationship Id="rId42" Type="http://schemas.openxmlformats.org/officeDocument/2006/relationships/hyperlink" Target="https://www.hse.ru/plus" TargetMode="External"/><Relationship Id="rId43" Type="http://schemas.openxmlformats.org/officeDocument/2006/relationships/hyperlink" Target="https://ma.hse.ru/" TargetMode="External"/><Relationship Id="rId44" Type="http://schemas.openxmlformats.org/officeDocument/2006/relationships/hyperlink" Target="https://aspirantura.hse.ru/" TargetMode="External"/><Relationship Id="rId45" Type="http://schemas.openxmlformats.org/officeDocument/2006/relationships/hyperlink" Target="https://busedu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hyperlink" Target="https://sezam.hse.ru/" TargetMode="External"/><Relationship Id="rId59" Type="http://schemas.openxmlformats.org/officeDocument/2006/relationships/hyperlink" Target="https://publications.hse.ru/" TargetMode="External"/><Relationship Id="rId60" Type="http://schemas.openxmlformats.org/officeDocument/2006/relationships/hyperlink" Target="https://library.hse.ru/" TargetMode="External"/><Relationship Id="rId61" Type="http://schemas.openxmlformats.org/officeDocument/2006/relationships/image" Target="media/image8.png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za2lka2lfc3BiP19yPTM2MjM4MzQxNzc1MDgxOTIzLjI0MDg5%5E&amp;id=1050272539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