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Программа учебной дисциплины (ПУД)</w:t>
      </w:r>
    </w:p>
    <w:p>
      <w:pPr>
        <w:autoSpaceDN w:val="0"/>
        <w:autoSpaceDE w:val="0"/>
        <w:widowControl/>
        <w:spacing w:line="269" w:lineRule="auto" w:before="378" w:after="0"/>
        <w:ind w:left="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Программа учебной дисциплины (ПУД) – нормативный документ, в котором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определяется содержание и структура учебной дисциплины, ее место и значение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системе подготовки студента, цели ее изучения и формы организации обучения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контроля.</w:t>
      </w:r>
    </w:p>
    <w:p>
      <w:pPr>
        <w:autoSpaceDN w:val="0"/>
        <w:autoSpaceDE w:val="0"/>
        <w:widowControl/>
        <w:spacing w:line="266" w:lineRule="auto" w:before="26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ПУД имеет организационный характер и устанавливает четкие правила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взаимодействия с преподавателем, а также отражает формы контроля, их примеры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дополнительные правила.</w:t>
      </w:r>
    </w:p>
    <w:p>
      <w:pPr>
        <w:autoSpaceDN w:val="0"/>
        <w:autoSpaceDE w:val="0"/>
        <w:widowControl/>
        <w:spacing w:line="266" w:lineRule="auto" w:before="24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Программа учебной дисциплины позволяет ознакомиться с целями и планируемыми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результатами обучения, содержанием учебного курса, рекомендуемой литературой,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формами занятий и принципами выставления оценок.</w:t>
      </w:r>
    </w:p>
    <w:p>
      <w:pPr>
        <w:autoSpaceDN w:val="0"/>
        <w:autoSpaceDE w:val="0"/>
        <w:widowControl/>
        <w:spacing w:line="259" w:lineRule="auto" w:before="260" w:after="0"/>
        <w:ind w:left="0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Рекомендуем заранее ознакомиться с содержанием ПУД, чтобы в случае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возникновения вопросов, задать их преподавателю как можно раньше.</w:t>
      </w:r>
    </w:p>
    <w:p>
      <w:pPr>
        <w:autoSpaceDN w:val="0"/>
        <w:autoSpaceDE w:val="0"/>
        <w:widowControl/>
        <w:spacing w:line="266" w:lineRule="auto" w:before="260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мере развития предметной области преподаватель может обновлять программу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курса независимо от сроков ее реализации. При этом оповещать студентов 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вносимых изменениях с помощью ЭИОС.</w:t>
      </w:r>
    </w:p>
    <w:p>
      <w:pPr>
        <w:autoSpaceDN w:val="0"/>
        <w:autoSpaceDE w:val="0"/>
        <w:widowControl/>
        <w:spacing w:line="276" w:lineRule="auto" w:before="26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Преподаватель имеет право незначительно корректировать количество и процедуры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организации Элементов контроля. В этом случае он должен зафиксировать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изменения в ПУД  и отдельно проинформировать студентов об изменениях и 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причинах. Информирование осуществляется не позднее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3 учебных дней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до начала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проведения Элемента контроля, не являющегося экзаменом, в отношении которого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произошли изменения. Не позднее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 3 учебных дней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 момента информирования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 имеет право обратиться к академическому руководителю своей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образовательной программы с уведомлением об изменениях. Академический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руководитель в данной ситуации принимает окончательное решение о возможности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изменений. Если академический руководитель возражает против предлагаемых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изменений, то он информирует об этом преподавателя по электронной почте. 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незначительных изменениях в процедуре экзамена, проводимого в сессию,</w:t>
      </w:r>
    </w:p>
    <w:p>
      <w:pPr>
        <w:sectPr>
          <w:pgSz w:w="11918" w:h="16858"/>
          <w:pgMar w:top="438" w:right="874" w:bottom="470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7086600</wp:posOffset>
            </wp:positionV>
            <wp:extent cx="711200" cy="25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5285740</wp:posOffset>
            </wp:positionV>
            <wp:extent cx="952500" cy="952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1092200</wp:posOffset>
            </wp:positionH>
            <wp:positionV relativeFrom="page">
              <wp:posOffset>5562600</wp:posOffset>
            </wp:positionV>
            <wp:extent cx="977900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9" w:lineRule="auto" w:before="24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преподаватель должен информировать студентов на последнем занятии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Дисциплине до начала сессии или, в случае асинхронного освоения Дисциплины,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письменно не позднее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5 учебных дней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до начала сессии. Информирование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осуществляется с использованием ЭИОС.</w:t>
      </w:r>
    </w:p>
    <w:p>
      <w:pPr>
        <w:autoSpaceDN w:val="0"/>
        <w:autoSpaceDE w:val="0"/>
        <w:widowControl/>
        <w:spacing w:line="266" w:lineRule="auto" w:before="260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Подробнее об этом можно прочитать в Положении об организации промежуточной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аттестации и текущего контроля успеваемости студентов Национального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исследовательского университета «Высшая школа экономики».</w:t>
      </w:r>
    </w:p>
    <w:p>
      <w:pPr>
        <w:autoSpaceDN w:val="0"/>
        <w:autoSpaceDE w:val="0"/>
        <w:widowControl/>
        <w:spacing w:line="264" w:lineRule="auto" w:before="262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Программа учебной дисциплины размещается на портале не позднее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5 дней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до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начала модуля, в котором она будет реализована. Все программы дисциплин можно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найти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каталоге курсов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НИУ ВШЭ.</w:t>
      </w:r>
    </w:p>
    <w:p>
      <w:pPr>
        <w:autoSpaceDN w:val="0"/>
        <w:autoSpaceDE w:val="0"/>
        <w:widowControl/>
        <w:spacing w:line="266" w:lineRule="auto" w:before="262" w:after="0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возникновении разногласий с преподавателем по вопросам ПУД Вы можете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обратиться к менеджеру своего учебного офиса, а также к сотрудникам центра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сервиса «Департамент».</w:t>
      </w:r>
    </w:p>
    <w:p>
      <w:pPr>
        <w:autoSpaceDN w:val="0"/>
        <w:autoSpaceDE w:val="0"/>
        <w:widowControl/>
        <w:spacing w:line="266" w:lineRule="auto" w:before="260" w:after="280"/>
        <w:ind w:left="300" w:right="576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Положение об организации промежуточной аттестации и текущего контроля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успеваемости студентов Национального исследовательского университета «Высшая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школа экономики» (ПОПАТКУС)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(действует c 01.09.2025)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9.99999999999994" w:type="dxa"/>
      </w:tblPr>
      <w:tblGrid>
        <w:gridCol w:w="10820"/>
      </w:tblGrid>
      <w:tr>
        <w:trPr>
          <w:trHeight w:hRule="exact" w:val="3622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60" w:after="0"/>
              <w:ind w:left="750" w:right="1008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hyperlink r:id="rId14" w:history="1">
                <w:r>
                  <w:rPr>
                    <w:rStyle w:val="Hyperlink"/>
                  </w:rPr>
                  <w:t>Ряшин</w:t>
                </w:r>
              </w:hyperlink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hyperlink r:id="rId14" w:history="1">
                <w:r>
                  <w:rPr>
                    <w:rStyle w:val="Hyperlink"/>
                  </w:rPr>
                  <w:t>а</w:t>
                </w:r>
              </w:hyperlink>
            </w:r>
            <w:r>
              <w:br/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hyperlink r:id="rId14" w:history="1">
                <w:r>
                  <w:rPr>
                    <w:rStyle w:val="Hyperlink"/>
                  </w:rPr>
                  <w:t>Алёна</w:t>
                </w:r>
              </w:hyperlink>
            </w:r>
            <w:r>
              <w:br/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hyperlink r:id="rId14" w:history="1">
                <w:r>
                  <w:rPr>
                    <w:rStyle w:val="Hyperlink"/>
                  </w:rPr>
                  <w:t>Юрье</w:t>
                </w:r>
              </w:hyperlink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hyperlink r:id="rId14" w:history="1">
                <w:r>
                  <w:rPr>
                    <w:rStyle w:val="Hyperlink"/>
                  </w:rPr>
                  <w:t>вна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9.99999999999994" w:type="dxa"/>
      </w:tblPr>
      <w:tblGrid>
        <w:gridCol w:w="10820"/>
      </w:tblGrid>
      <w:tr>
        <w:trPr>
          <w:trHeight w:hRule="exact" w:val="426"/>
        </w:trPr>
        <w:tc>
          <w:tcPr>
            <w:tcW w:type="dxa" w:w="34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5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Центр сервиса</w:t>
            </w:r>
          </w:p>
        </w:tc>
      </w:tr>
    </w:tbl>
    <w:p>
      <w:pPr>
        <w:autoSpaceDN w:val="0"/>
        <w:autoSpaceDE w:val="0"/>
        <w:widowControl/>
        <w:spacing w:line="240" w:lineRule="auto" w:before="24" w:after="34"/>
        <w:ind w:left="1260" w:right="0" w:firstLine="0"/>
        <w:jc w:val="left"/>
      </w:pPr>
      <w:r>
        <w:rPr>
          <w:shd w:val="clear" w:color="auto" w:fill="eb4045"/>
          <w:w w:val="98.07692307692307"/>
          <w:rFonts w:ascii="Segoe UI" w:hAnsi="Segoe UI" w:eastAsia="Segoe UI"/>
          <w:b w:val="0"/>
          <w:i w:val="0"/>
          <w:color w:val="000000"/>
          <w:sz w:val="26"/>
        </w:rPr>
        <w:t>«Департамент»: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8.0000000000001" w:type="dxa"/>
      </w:tblPr>
      <w:tblGrid>
        <w:gridCol w:w="10820"/>
      </w:tblGrid>
      <w:tr>
        <w:trPr>
          <w:trHeight w:hRule="exact" w:val="908"/>
        </w:trPr>
        <w:tc>
          <w:tcPr>
            <w:tcW w:type="dxa" w:w="3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51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Менеджер</w:t>
            </w:r>
          </w:p>
        </w:tc>
      </w:tr>
    </w:tbl>
    <w:p>
      <w:pPr>
        <w:autoSpaceDN w:val="0"/>
        <w:autoSpaceDE w:val="0"/>
        <w:widowControl/>
        <w:spacing w:line="240" w:lineRule="auto" w:before="1324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9423400</wp:posOffset>
            </wp:positionV>
            <wp:extent cx="508000" cy="241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9804400</wp:posOffset>
            </wp:positionV>
            <wp:extent cx="1346200" cy="317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208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561340</wp:posOffset>
            </wp:positionV>
            <wp:extent cx="228600" cy="228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64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1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6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36" w:lineRule="auto" w:before="200" w:after="0"/>
        <w:ind w:left="300" w:right="792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9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Мониторинги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1485900</wp:posOffset>
            </wp:positionV>
            <wp:extent cx="6877050" cy="456989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auto" w:before="18" w:after="0"/>
        <w:ind w:left="300" w:right="648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186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8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1" w:lineRule="auto" w:before="200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Массовые открытые онлайн-курсы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AAAAAA"/>
          <w:sz w:val="15"/>
        </w:rPr>
        <w:hyperlink r:id="rId69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://www.hse.ru/edu/courses/" TargetMode="External"/><Relationship Id="rId13" Type="http://schemas.openxmlformats.org/officeDocument/2006/relationships/hyperlink" Target="https://www.hse.ru/docs/1026832917.html" TargetMode="External"/><Relationship Id="rId14" Type="http://schemas.openxmlformats.org/officeDocument/2006/relationships/hyperlink" Target="https://www.hse.ru/org/persons/844479589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hyperlink" Target="https://www.hse.ru/org/hse/info/" TargetMode="External"/><Relationship Id="rId22" Type="http://schemas.openxmlformats.org/officeDocument/2006/relationships/hyperlink" Target="https://figures.hse.ru/" TargetMode="External"/><Relationship Id="rId23" Type="http://schemas.openxmlformats.org/officeDocument/2006/relationships/hyperlink" Target="https://www.hse.ru/orgstructure/" TargetMode="External"/><Relationship Id="rId24" Type="http://schemas.openxmlformats.org/officeDocument/2006/relationships/hyperlink" Target="https://sustainability.hse.ru/" TargetMode="External"/><Relationship Id="rId25" Type="http://schemas.openxmlformats.org/officeDocument/2006/relationships/hyperlink" Target="https://www.hse.ru/org/persons/" TargetMode="External"/><Relationship Id="rId26" Type="http://schemas.openxmlformats.org/officeDocument/2006/relationships/hyperlink" Target="https://www.hse.ru/buildinghse" TargetMode="External"/><Relationship Id="rId27" Type="http://schemas.openxmlformats.org/officeDocument/2006/relationships/hyperlink" Target="https://www.hse.ru/org/hse/aup/procurement/" TargetMode="External"/><Relationship Id="rId28" Type="http://schemas.openxmlformats.org/officeDocument/2006/relationships/hyperlink" Target="https://www.hse.ru/appeal/" TargetMode="External"/><Relationship Id="rId29" Type="http://schemas.openxmlformats.org/officeDocument/2006/relationships/hyperlink" Target="https://endowment.hse.ru/" TargetMode="External"/><Relationship Id="rId30" Type="http://schemas.openxmlformats.org/officeDocument/2006/relationships/hyperlink" Target="https://www.hse.ru/anticorruption" TargetMode="External"/><Relationship Id="rId31" Type="http://schemas.openxmlformats.org/officeDocument/2006/relationships/hyperlink" Target="https://www.hse.ru/anticorruption/information" TargetMode="External"/><Relationship Id="rId32" Type="http://schemas.openxmlformats.org/officeDocument/2006/relationships/hyperlink" Target="https://www.hse.ru/sveden/" TargetMode="External"/><Relationship Id="rId33" Type="http://schemas.openxmlformats.org/officeDocument/2006/relationships/hyperlink" Target="https://inclusive.hse.ru/" TargetMode="External"/><Relationship Id="rId34" Type="http://schemas.openxmlformats.org/officeDocument/2006/relationships/hyperlink" Target="https://pay.hse.ru/" TargetMode="External"/><Relationship Id="rId35" Type="http://schemas.openxmlformats.org/officeDocument/2006/relationships/hyperlink" Target="https://www.hse.ru/career" TargetMode="External"/><Relationship Id="rId36" Type="http://schemas.openxmlformats.org/officeDocument/2006/relationships/hyperlink" Target="https://www.hse.ru/education/" TargetMode="External"/><Relationship Id="rId37" Type="http://schemas.openxmlformats.org/officeDocument/2006/relationships/hyperlink" Target="https://school.hse.ru/" TargetMode="External"/><Relationship Id="rId38" Type="http://schemas.openxmlformats.org/officeDocument/2006/relationships/hyperlink" Target="https://fdp.hse.ru/" TargetMode="External"/><Relationship Id="rId39" Type="http://schemas.openxmlformats.org/officeDocument/2006/relationships/hyperlink" Target="https://olymp.hse.ru/" TargetMode="External"/><Relationship Id="rId40" Type="http://schemas.openxmlformats.org/officeDocument/2006/relationships/hyperlink" Target="https://ba.hse.ru/" TargetMode="External"/><Relationship Id="rId41" Type="http://schemas.openxmlformats.org/officeDocument/2006/relationships/hyperlink" Target="https://www.hse.ru/plus" TargetMode="External"/><Relationship Id="rId42" Type="http://schemas.openxmlformats.org/officeDocument/2006/relationships/hyperlink" Target="https://ma.hse.ru/" TargetMode="External"/><Relationship Id="rId43" Type="http://schemas.openxmlformats.org/officeDocument/2006/relationships/hyperlink" Target="https://aspirantura.hse.ru/" TargetMode="External"/><Relationship Id="rId44" Type="http://schemas.openxmlformats.org/officeDocument/2006/relationships/hyperlink" Target="https://busedu.hse.ru/" TargetMode="External"/><Relationship Id="rId45" Type="http://schemas.openxmlformats.org/officeDocument/2006/relationships/hyperlink" Target="https://career.hse.ru/" TargetMode="External"/><Relationship Id="rId46" Type="http://schemas.openxmlformats.org/officeDocument/2006/relationships/hyperlink" Target="http://inc.hse.ru/" TargetMode="External"/><Relationship Id="rId47" Type="http://schemas.openxmlformats.org/officeDocument/2006/relationships/hyperlink" Target="https://dd.hse.ru/" TargetMode="External"/><Relationship Id="rId48" Type="http://schemas.openxmlformats.org/officeDocument/2006/relationships/hyperlink" Target="https://www.hse.ru/feedback" TargetMode="External"/><Relationship Id="rId49" Type="http://schemas.openxmlformats.org/officeDocument/2006/relationships/hyperlink" Target="https://www.hse.ru/science/" TargetMode="External"/><Relationship Id="rId50" Type="http://schemas.openxmlformats.org/officeDocument/2006/relationships/hyperlink" Target="https://www.hse.ru/science/centers" TargetMode="External"/><Relationship Id="rId51" Type="http://schemas.openxmlformats.org/officeDocument/2006/relationships/hyperlink" Target="https://www.hse.ru/org/projects/" TargetMode="External"/><Relationship Id="rId52" Type="http://schemas.openxmlformats.org/officeDocument/2006/relationships/hyperlink" Target="https://www.hse.ru/monitoring/" TargetMode="External"/><Relationship Id="rId53" Type="http://schemas.openxmlformats.org/officeDocument/2006/relationships/hyperlink" Target="https://www.hse.ru/science/disscoun/" TargetMode="External"/><Relationship Id="rId54" Type="http://schemas.openxmlformats.org/officeDocument/2006/relationships/hyperlink" Target="https://aspirantura.hse.ru/defence/announcements/" TargetMode="External"/><Relationship Id="rId55" Type="http://schemas.openxmlformats.org/officeDocument/2006/relationships/hyperlink" Target="https://academics.hse.ru/" TargetMode="External"/><Relationship Id="rId56" Type="http://schemas.openxmlformats.org/officeDocument/2006/relationships/hyperlink" Target="https://www.hse.ru/science/hsegrants" TargetMode="External"/><Relationship Id="rId57" Type="http://schemas.openxmlformats.org/officeDocument/2006/relationships/hyperlink" Target="https://sezam.hse.ru/" TargetMode="External"/><Relationship Id="rId58" Type="http://schemas.openxmlformats.org/officeDocument/2006/relationships/hyperlink" Target="https://publications.hse.ru/" TargetMode="External"/><Relationship Id="rId59" Type="http://schemas.openxmlformats.org/officeDocument/2006/relationships/hyperlink" Target="https://library.hse.ru/" TargetMode="External"/><Relationship Id="rId60" Type="http://schemas.openxmlformats.org/officeDocument/2006/relationships/hyperlink" Target="https://id.hse.ru/" TargetMode="External"/><Relationship Id="rId61" Type="http://schemas.openxmlformats.org/officeDocument/2006/relationships/hyperlink" Target="https://bookshop.hse.ru/" TargetMode="External"/><Relationship Id="rId62" Type="http://schemas.openxmlformats.org/officeDocument/2006/relationships/hyperlink" Target="https://print.hse.ru/" TargetMode="External"/><Relationship Id="rId63" Type="http://schemas.openxmlformats.org/officeDocument/2006/relationships/hyperlink" Target="https://mc.hse.ru/" TargetMode="External"/><Relationship Id="rId64" Type="http://schemas.openxmlformats.org/officeDocument/2006/relationships/hyperlink" Target="https://www.hse.ru/science/journals" TargetMode="External"/><Relationship Id="rId65" Type="http://schemas.openxmlformats.org/officeDocument/2006/relationships/hyperlink" Target="http://www.minobrnauki.gov.ru/" TargetMode="External"/><Relationship Id="rId66" Type="http://schemas.openxmlformats.org/officeDocument/2006/relationships/hyperlink" Target="https://edu.gov.ru/" TargetMode="External"/><Relationship Id="rId67" Type="http://schemas.openxmlformats.org/officeDocument/2006/relationships/hyperlink" Target="http://www.edu.ru/" TargetMode="External"/><Relationship Id="rId68" Type="http://schemas.openxmlformats.org/officeDocument/2006/relationships/hyperlink" Target="https://elearning.hse.ru/mooc" TargetMode="External"/><Relationship Id="rId69" Type="http://schemas.openxmlformats.org/officeDocument/2006/relationships/hyperlink" Target="https://www.hse.ru/adm/edit/edit.html?goto=%2AL3N0dWR5c3ByYXZrYS9zeWxsYWJ1cz9fcj0zNjIxMTM5MTc3NTA4MTEyNC44MTY3OQ%3D%3D%5E&amp;id=846207978&amp;cid=20594&amp;addon_name=default&amp;newportal=1" TargetMode="External"/><Relationship Id="rId70" Type="http://schemas.openxmlformats.org/officeDocument/2006/relationships/hyperlink" Target="https://www.hse.ru/contacts.html" TargetMode="External"/><Relationship Id="rId71" Type="http://schemas.openxmlformats.org/officeDocument/2006/relationships/hyperlink" Target="https://www.hse.ru/copyright" TargetMode="External"/><Relationship Id="rId72" Type="http://schemas.openxmlformats.org/officeDocument/2006/relationships/hyperlink" Target="https://www.hse.ru/data_protection_regulation" TargetMode="External"/><Relationship Id="rId73" Type="http://schemas.openxmlformats.org/officeDocument/2006/relationships/hyperlink" Target="https://www.hse.ru/sitemap.html" TargetMode="External"/><Relationship Id="rId74" Type="http://schemas.openxmlformats.org/officeDocument/2006/relationships/hyperlink" Target="https://design.hse.ru/" TargetMode="External"/><Relationship Id="rId75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