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24" w:val="left"/>
        </w:tabs>
        <w:autoSpaceDE w:val="0"/>
        <w:widowControl/>
        <w:spacing w:line="240" w:lineRule="auto" w:before="198" w:after="0"/>
        <w:ind w:left="736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594"/>
        <w:ind w:left="362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Горячая линия «Выразительная кнопка»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4.0" w:type="dxa"/>
      </w:tblPr>
      <w:tblGrid>
        <w:gridCol w:w="10912"/>
      </w:tblGrid>
      <w:tr>
        <w:trPr>
          <w:trHeight w:hRule="exact" w:val="1256"/>
        </w:trPr>
        <w:tc>
          <w:tcPr>
            <w:tcW w:type="dxa" w:w="10064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6" w:after="0"/>
              <w:ind w:left="456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Что такое «Выразительная кнопка»?</w:t>
            </w:r>
          </w:p>
        </w:tc>
      </w:tr>
    </w:tbl>
    <w:p>
      <w:pPr>
        <w:autoSpaceDN w:val="0"/>
        <w:autoSpaceDE w:val="0"/>
        <w:widowControl/>
        <w:spacing w:line="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912"/>
      </w:tblGrid>
      <w:tr>
        <w:trPr>
          <w:trHeight w:hRule="exact" w:val="480"/>
        </w:trPr>
        <w:tc>
          <w:tcPr>
            <w:tcW w:type="dxa" w:w="10892"/>
            <w:tcBorders/>
            <w:shd w:fill="b0c2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93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1" w:history="1">
                <w:r>
                  <w:rPr>
                    <w:rStyle w:val="Hyperlink"/>
                  </w:rPr>
                  <w:t>«Выразительная кнопка»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— это горячая линия.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92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901700</wp:posOffset>
                  </wp:positionH>
                  <wp:positionV relativeFrom="page">
                    <wp:posOffset>3962400</wp:posOffset>
                  </wp:positionV>
                  <wp:extent cx="1866900" cy="254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6.0" w:type="dxa"/>
      </w:tblPr>
      <w:tblGrid>
        <w:gridCol w:w="10912"/>
      </w:tblGrid>
      <w:tr>
        <w:trPr>
          <w:trHeight w:hRule="exact" w:val="430"/>
        </w:trPr>
        <w:tc>
          <w:tcPr>
            <w:tcW w:type="dxa" w:w="9200"/>
            <w:tcBorders/>
            <w:shd w:fill="b0c2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8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Воспользовавшись «Выразительной кнопкой», любой участник</w:t>
            </w:r>
          </w:p>
        </w:tc>
      </w:tr>
    </w:tbl>
    <w:p>
      <w:pPr>
        <w:autoSpaceDN w:val="0"/>
        <w:autoSpaceDE w:val="0"/>
        <w:widowControl/>
        <w:spacing w:line="269" w:lineRule="auto" w:before="34" w:after="26"/>
        <w:ind w:left="930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образовательного процесса (студент, абитуриент, лицеист, преподаватель,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сотрудник) может задать вопрос, оставить описание возникшей проблемы,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выразить свое отношение к той или иной стороне учебного процесса,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обратиться к администрации Университета с предложением по улучшению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4.0" w:type="dxa"/>
      </w:tblPr>
      <w:tblGrid>
        <w:gridCol w:w="10912"/>
      </w:tblGrid>
      <w:tr>
        <w:trPr>
          <w:trHeight w:hRule="exact" w:val="1118"/>
        </w:trPr>
        <w:tc>
          <w:tcPr>
            <w:tcW w:type="dxa" w:w="10064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деятельности или за помощью.</w:t>
            </w:r>
          </w:p>
        </w:tc>
      </w:tr>
    </w:tbl>
    <w:p>
      <w:pPr>
        <w:autoSpaceDN w:val="0"/>
        <w:autoSpaceDE w:val="0"/>
        <w:widowControl/>
        <w:spacing w:line="3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" w:type="dxa"/>
      </w:tblPr>
      <w:tblGrid>
        <w:gridCol w:w="10912"/>
      </w:tblGrid>
      <w:tr>
        <w:trPr>
          <w:trHeight w:hRule="exact" w:val="173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22" w:after="0"/>
              <w:ind w:left="632" w:right="1008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Для чего нужна горячая линия «Выразительная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кнопка»?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4.0" w:type="dxa"/>
      </w:tblPr>
      <w:tblGrid>
        <w:gridCol w:w="5456"/>
        <w:gridCol w:w="5456"/>
      </w:tblGrid>
      <w:tr>
        <w:trPr>
          <w:trHeight w:hRule="exact" w:val="510"/>
        </w:trPr>
        <w:tc>
          <w:tcPr>
            <w:tcW w:type="dxa" w:w="10326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Целями организации работы Выразительной кнопки являются:</w:t>
            </w:r>
          </w:p>
        </w:tc>
      </w:tr>
      <w:tr>
        <w:trPr>
          <w:trHeight w:hRule="exact" w:val="514"/>
        </w:trPr>
        <w:tc>
          <w:tcPr>
            <w:tcW w:type="dxa" w:w="952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374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сбор информации о качестве оказываемых в Университете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6.0" w:type="dxa"/>
      </w:tblPr>
      <w:tblGrid>
        <w:gridCol w:w="5456"/>
        <w:gridCol w:w="5456"/>
      </w:tblGrid>
      <w:tr>
        <w:trPr>
          <w:trHeight w:hRule="exact" w:val="486"/>
        </w:trPr>
        <w:tc>
          <w:tcPr>
            <w:tcW w:type="dxa" w:w="10020"/>
            <w:gridSpan w:val="2"/>
            <w:tcBorders/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6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образовательных услуг;</w:t>
            </w:r>
          </w:p>
        </w:tc>
      </w:tr>
      <w:tr>
        <w:trPr>
          <w:trHeight w:hRule="exact" w:val="498"/>
        </w:trPr>
        <w:tc>
          <w:tcPr>
            <w:tcW w:type="dxa" w:w="7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2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предоставление возможности студентам и преподавателям выразить свое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6.0" w:type="dxa"/>
      </w:tblPr>
      <w:tblGrid>
        <w:gridCol w:w="10912"/>
      </w:tblGrid>
      <w:tr>
        <w:trPr>
          <w:trHeight w:hRule="exact" w:val="410"/>
        </w:trPr>
        <w:tc>
          <w:tcPr>
            <w:tcW w:type="dxa" w:w="8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6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отношении к той или иной стороне учебного процесса;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12" w:bottom="304" w:left="4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6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— предоставление возможности обратиться к администрации Университета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8"/>
        </w:trPr>
        <w:tc>
          <w:tcPr>
            <w:tcW w:type="dxa" w:w="93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 предложением по улучшению деятельности или за оперативным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32"/>
        </w:trPr>
        <w:tc>
          <w:tcPr>
            <w:tcW w:type="dxa" w:w="7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решением возникших проблем.</w:t>
            </w:r>
          </w:p>
        </w:tc>
      </w:tr>
    </w:tbl>
    <w:p>
      <w:pPr>
        <w:autoSpaceDN w:val="0"/>
        <w:autoSpaceDE w:val="0"/>
        <w:widowControl/>
        <w:spacing w:line="9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18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Как подать обращение?</w:t>
            </w:r>
          </w:p>
        </w:tc>
      </w:tr>
    </w:tbl>
    <w:p>
      <w:pPr>
        <w:autoSpaceDN w:val="0"/>
        <w:autoSpaceDE w:val="0"/>
        <w:widowControl/>
        <w:spacing w:line="271" w:lineRule="auto" w:before="156" w:after="0"/>
        <w:ind w:left="824" w:right="100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Чтобы подать обращение, необходимо перейти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Ссылка 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«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Выразительную кнопку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» также располагается на интернет-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страницах основных образовательных программ НИУ ВШЭ, главной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странице портала «Вышка для своих» на сайте НИУ ВШЭ , а также в Едином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личном кабинете.</w:t>
      </w:r>
    </w:p>
    <w:p>
      <w:pPr>
        <w:autoSpaceDN w:val="0"/>
        <w:autoSpaceDE w:val="0"/>
        <w:widowControl/>
        <w:spacing w:line="274" w:lineRule="auto" w:before="260" w:after="0"/>
        <w:ind w:left="824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 можете подать как анонимное обращение, так и не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анонимное, авторизировавшись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 xml:space="preserve">Едином личном кабинете 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(ЕЛК). При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авторизации в ЕЛК информация о респонденте будет по умолчанию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доступна работнику, обрабатывающему обращения горячей линии и ответы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них, и руководителю подразделения, в ведении которого находится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поднятый в обращении вопрос, а это, как правило, облегчает процесс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рассмотрения обращения. </w:t>
      </w:r>
    </w:p>
    <w:p>
      <w:pPr>
        <w:autoSpaceDN w:val="0"/>
        <w:autoSpaceDE w:val="0"/>
        <w:widowControl/>
        <w:spacing w:line="259" w:lineRule="auto" w:before="260" w:after="0"/>
        <w:ind w:left="824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 подаче анонимного обращения желательно указание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программы и уровня обучения (бакалавриат, магистратура, специалитет). </w:t>
      </w:r>
    </w:p>
    <w:p>
      <w:pPr>
        <w:autoSpaceDN w:val="0"/>
        <w:autoSpaceDE w:val="0"/>
        <w:widowControl/>
        <w:spacing w:line="266" w:lineRule="auto" w:before="260" w:after="26"/>
        <w:ind w:left="824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Тщательно продумывайте содержание обращения, соблюдайте этику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грамотно излагайте свои мысли, поскольку на их обработку тратятся время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силы, а подготовка ответов на содержательные запросы происходит быстрее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36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 "без обид" на обратившегося.</w:t>
            </w:r>
          </w:p>
        </w:tc>
      </w:tr>
    </w:tbl>
    <w:p>
      <w:pPr>
        <w:autoSpaceDN w:val="0"/>
        <w:autoSpaceDE w:val="0"/>
        <w:widowControl/>
        <w:spacing w:line="1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2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Рассмотрение обращений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26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Полученные обращения направляются руководителям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8"/>
        </w:trPr>
        <w:tc>
          <w:tcPr>
            <w:tcW w:type="dxa" w:w="95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структурных подразделений НИУ ВШЭ, к функциям которых относится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10"/>
        </w:trPr>
        <w:tc>
          <w:tcPr>
            <w:tcW w:type="dxa" w:w="7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решение описанных проблем.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6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0" w:after="0"/>
              <w:ind w:left="632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/>
                <w:color w:val="000000"/>
                <w:sz w:val="26"/>
              </w:rPr>
              <w:t>Важно:</w:t>
            </w: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 xml:space="preserve"> обращения, содержащие спам и нецензурные выражения,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2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/>
                <w:color w:val="000000"/>
                <w:sz w:val="26"/>
              </w:rPr>
              <w:t>рассмотрению не подлежат. Давайте уважать друг друга!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2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Как я получу ответ на обращение?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32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Вы авторизировались в Едином личном кабинете, то ответ на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8"/>
        </w:trPr>
        <w:tc>
          <w:tcPr>
            <w:tcW w:type="dxa" w:w="98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обращение поступит на Вашу корпоративную электронную почту. Если Вы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0"/>
        </w:trPr>
        <w:tc>
          <w:tcPr>
            <w:tcW w:type="dxa" w:w="95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решили подать анонимное обращение, то ответ будет направлен при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424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условии, что Вы указали электронный адрес для получения ответа.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82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0" w:after="0"/>
              <w:ind w:left="632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Полезные ссылки</w:t>
            </w:r>
          </w:p>
        </w:tc>
      </w:tr>
    </w:tbl>
    <w:p>
      <w:pPr>
        <w:autoSpaceDN w:val="0"/>
        <w:autoSpaceDE w:val="0"/>
        <w:widowControl/>
        <w:spacing w:line="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1270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5" w:history="1">
                <w:r>
                  <w:rPr>
                    <w:rStyle w:val="Hyperlink"/>
                  </w:rPr>
                  <w:t>Регламент организации работы горячей линии "Выразительная кнопка"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06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6489700</wp:posOffset>
            </wp:positionV>
            <wp:extent cx="5080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6870700</wp:posOffset>
            </wp:positionV>
            <wp:extent cx="13462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7372350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38" w:lineRule="auto" w:before="9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9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42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Цифры и факты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Руководство и структура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Устойчивое развитие в НИУ ВШЭ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0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Преподаватели и сотрудники</w:t>
          </w:r>
        </w:hyperlink>
      </w:r>
    </w:p>
    <w:p>
      <w:pPr>
        <w:sectPr>
          <w:pgSz w:w="11918" w:h="16858"/>
          <w:pgMar w:top="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8515350</wp:posOffset>
            </wp:positionV>
            <wp:extent cx="6877050" cy="176765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7676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4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186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7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46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6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Медиацентр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422909</wp:posOffset>
            </wp:positionV>
            <wp:extent cx="6877050" cy="281492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8149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18" w:after="0"/>
        <w:ind w:left="300" w:right="921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1" w:lineRule="auto" w:before="200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Массовые открытые онлайн-курсы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8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lk.hse.ru/user-suggestions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lk.hse.ru/" TargetMode="External"/><Relationship Id="rId15" Type="http://schemas.openxmlformats.org/officeDocument/2006/relationships/hyperlink" Target="https://hse.ru/docs/822643255.html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https://www.hse.ru/org/hse/info/" TargetMode="External"/><Relationship Id="rId20" Type="http://schemas.openxmlformats.org/officeDocument/2006/relationships/hyperlink" Target="https://figures.hse.ru/" TargetMode="External"/><Relationship Id="rId21" Type="http://schemas.openxmlformats.org/officeDocument/2006/relationships/hyperlink" Target="https://www.hse.ru/orgstructure/" TargetMode="External"/><Relationship Id="rId22" Type="http://schemas.openxmlformats.org/officeDocument/2006/relationships/hyperlink" Target="https://sustainability.hse.ru/" TargetMode="External"/><Relationship Id="rId23" Type="http://schemas.openxmlformats.org/officeDocument/2006/relationships/hyperlink" Target="https://www.hse.ru/org/persons/" TargetMode="External"/><Relationship Id="rId24" Type="http://schemas.openxmlformats.org/officeDocument/2006/relationships/hyperlink" Target="https://www.hse.ru/buildinghse" TargetMode="External"/><Relationship Id="rId25" Type="http://schemas.openxmlformats.org/officeDocument/2006/relationships/hyperlink" Target="https://www.hse.ru/org/hse/aup/procurement/" TargetMode="External"/><Relationship Id="rId26" Type="http://schemas.openxmlformats.org/officeDocument/2006/relationships/hyperlink" Target="https://www.hse.ru/appeal/" TargetMode="External"/><Relationship Id="rId27" Type="http://schemas.openxmlformats.org/officeDocument/2006/relationships/hyperlink" Target="https://endowment.hse.ru/" TargetMode="External"/><Relationship Id="rId28" Type="http://schemas.openxmlformats.org/officeDocument/2006/relationships/hyperlink" Target="https://www.hse.ru/anticorruption" TargetMode="External"/><Relationship Id="rId29" Type="http://schemas.openxmlformats.org/officeDocument/2006/relationships/hyperlink" Target="https://www.hse.ru/anticorruption/information" TargetMode="External"/><Relationship Id="rId30" Type="http://schemas.openxmlformats.org/officeDocument/2006/relationships/hyperlink" Target="https://www.hse.ru/sveden/" TargetMode="External"/><Relationship Id="rId31" Type="http://schemas.openxmlformats.org/officeDocument/2006/relationships/hyperlink" Target="https://inclusive.hse.ru/" TargetMode="External"/><Relationship Id="rId32" Type="http://schemas.openxmlformats.org/officeDocument/2006/relationships/hyperlink" Target="https://pay.hse.ru/" TargetMode="External"/><Relationship Id="rId33" Type="http://schemas.openxmlformats.org/officeDocument/2006/relationships/hyperlink" Target="https://www.hse.ru/career" TargetMode="External"/><Relationship Id="rId34" Type="http://schemas.openxmlformats.org/officeDocument/2006/relationships/hyperlink" Target="https://www.hse.ru/education/" TargetMode="External"/><Relationship Id="rId35" Type="http://schemas.openxmlformats.org/officeDocument/2006/relationships/hyperlink" Target="https://school.hse.ru/" TargetMode="External"/><Relationship Id="rId36" Type="http://schemas.openxmlformats.org/officeDocument/2006/relationships/hyperlink" Target="https://fdp.hse.ru/" TargetMode="External"/><Relationship Id="rId37" Type="http://schemas.openxmlformats.org/officeDocument/2006/relationships/hyperlink" Target="https://olymp.hse.ru/" TargetMode="External"/><Relationship Id="rId38" Type="http://schemas.openxmlformats.org/officeDocument/2006/relationships/hyperlink" Target="https://ba.hse.ru/" TargetMode="External"/><Relationship Id="rId39" Type="http://schemas.openxmlformats.org/officeDocument/2006/relationships/hyperlink" Target="https://www.hse.ru/plus" TargetMode="External"/><Relationship Id="rId40" Type="http://schemas.openxmlformats.org/officeDocument/2006/relationships/hyperlink" Target="https://ma.hse.ru/" TargetMode="External"/><Relationship Id="rId41" Type="http://schemas.openxmlformats.org/officeDocument/2006/relationships/hyperlink" Target="https://aspirantura.hse.ru/" TargetMode="External"/><Relationship Id="rId42" Type="http://schemas.openxmlformats.org/officeDocument/2006/relationships/hyperlink" Target="https://busedu.hse.ru/" TargetMode="External"/><Relationship Id="rId43" Type="http://schemas.openxmlformats.org/officeDocument/2006/relationships/hyperlink" Target="https://career.hse.ru/" TargetMode="External"/><Relationship Id="rId44" Type="http://schemas.openxmlformats.org/officeDocument/2006/relationships/hyperlink" Target="http://inc.hse.ru/" TargetMode="External"/><Relationship Id="rId45" Type="http://schemas.openxmlformats.org/officeDocument/2006/relationships/hyperlink" Target="https://dd.hse.ru/" TargetMode="External"/><Relationship Id="rId46" Type="http://schemas.openxmlformats.org/officeDocument/2006/relationships/hyperlink" Target="https://www.hse.ru/feedback" TargetMode="External"/><Relationship Id="rId47" Type="http://schemas.openxmlformats.org/officeDocument/2006/relationships/hyperlink" Target="https://www.hse.ru/science/" TargetMode="External"/><Relationship Id="rId48" Type="http://schemas.openxmlformats.org/officeDocument/2006/relationships/hyperlink" Target="https://www.hse.ru/science/centers" TargetMode="External"/><Relationship Id="rId49" Type="http://schemas.openxmlformats.org/officeDocument/2006/relationships/hyperlink" Target="https://www.hse.ru/org/projects/" TargetMode="External"/><Relationship Id="rId50" Type="http://schemas.openxmlformats.org/officeDocument/2006/relationships/hyperlink" Target="https://www.hse.ru/monitoring/" TargetMode="External"/><Relationship Id="rId51" Type="http://schemas.openxmlformats.org/officeDocument/2006/relationships/hyperlink" Target="https://www.hse.ru/science/disscoun/" TargetMode="External"/><Relationship Id="rId52" Type="http://schemas.openxmlformats.org/officeDocument/2006/relationships/hyperlink" Target="https://aspirantura.hse.ru/defence/announcements/" TargetMode="External"/><Relationship Id="rId53" Type="http://schemas.openxmlformats.org/officeDocument/2006/relationships/hyperlink" Target="https://academics.hse.ru/" TargetMode="External"/><Relationship Id="rId54" Type="http://schemas.openxmlformats.org/officeDocument/2006/relationships/hyperlink" Target="https://www.hse.ru/science/hsegrants" TargetMode="External"/><Relationship Id="rId55" Type="http://schemas.openxmlformats.org/officeDocument/2006/relationships/hyperlink" Target="https://sezam.hse.ru/" TargetMode="External"/><Relationship Id="rId56" Type="http://schemas.openxmlformats.org/officeDocument/2006/relationships/hyperlink" Target="https://publications.hse.ru/" TargetMode="External"/><Relationship Id="rId57" Type="http://schemas.openxmlformats.org/officeDocument/2006/relationships/hyperlink" Target="https://library.hse.ru/" TargetMode="External"/><Relationship Id="rId58" Type="http://schemas.openxmlformats.org/officeDocument/2006/relationships/hyperlink" Target="https://id.hse.ru/" TargetMode="External"/><Relationship Id="rId59" Type="http://schemas.openxmlformats.org/officeDocument/2006/relationships/hyperlink" Target="https://bookshop.hse.ru/" TargetMode="External"/><Relationship Id="rId60" Type="http://schemas.openxmlformats.org/officeDocument/2006/relationships/hyperlink" Target="https://print.hse.ru/" TargetMode="External"/><Relationship Id="rId61" Type="http://schemas.openxmlformats.org/officeDocument/2006/relationships/hyperlink" Target="https://mc.hse.ru/" TargetMode="External"/><Relationship Id="rId62" Type="http://schemas.openxmlformats.org/officeDocument/2006/relationships/image" Target="media/image6.png"/><Relationship Id="rId63" Type="http://schemas.openxmlformats.org/officeDocument/2006/relationships/hyperlink" Target="https://www.hse.ru/science/journals" TargetMode="External"/><Relationship Id="rId64" Type="http://schemas.openxmlformats.org/officeDocument/2006/relationships/hyperlink" Target="http://www.minobrnauki.gov.ru/" TargetMode="External"/><Relationship Id="rId65" Type="http://schemas.openxmlformats.org/officeDocument/2006/relationships/hyperlink" Target="https://edu.gov.ru/" TargetMode="External"/><Relationship Id="rId66" Type="http://schemas.openxmlformats.org/officeDocument/2006/relationships/hyperlink" Target="http://www.edu.ru/" TargetMode="External"/><Relationship Id="rId67" Type="http://schemas.openxmlformats.org/officeDocument/2006/relationships/hyperlink" Target="https://elearning.hse.ru/mooc" TargetMode="External"/><Relationship Id="rId68" Type="http://schemas.openxmlformats.org/officeDocument/2006/relationships/hyperlink" Target="https://www.hse.ru/adm/edit/edit.html?goto=%2AL3N0dWR5c3ByYXZrYS92a3M%2FX3I9MzYyMjE0NTE3NzUwODEwMDYuMzkxNDY%3D%5E&amp;id=35325450&amp;cid=20594&amp;addon_name=default&amp;newportal=1" TargetMode="External"/><Relationship Id="rId69" Type="http://schemas.openxmlformats.org/officeDocument/2006/relationships/hyperlink" Target="https://www.hse.ru/contacts.html" TargetMode="External"/><Relationship Id="rId70" Type="http://schemas.openxmlformats.org/officeDocument/2006/relationships/hyperlink" Target="https://www.hse.ru/copyright" TargetMode="External"/><Relationship Id="rId71" Type="http://schemas.openxmlformats.org/officeDocument/2006/relationships/hyperlink" Target="https://www.hse.ru/data_protection_regulation" TargetMode="External"/><Relationship Id="rId72" Type="http://schemas.openxmlformats.org/officeDocument/2006/relationships/hyperlink" Target="https://www.hse.ru/sitemap.html" TargetMode="External"/><Relationship Id="rId73" Type="http://schemas.openxmlformats.org/officeDocument/2006/relationships/hyperlink" Target="https://design.hse.ru/" TargetMode="External"/><Relationship Id="rId7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