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0"/>
        <w:ind w:left="432" w:right="432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526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Государственная академическая стипендия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404"/>
        </w:trPr>
        <w:tc>
          <w:tcPr>
            <w:tcW w:type="dxa" w:w="4530"/>
            <w:tcBorders/>
            <w:shd w:fill="e7ac3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FFFFFF"/>
                <w:sz w:val="22"/>
              </w:rPr>
              <w:t>Государственная академическая стипендия</w:t>
            </w:r>
          </w:p>
        </w:tc>
      </w:tr>
    </w:tbl>
    <w:p>
      <w:pPr>
        <w:autoSpaceDN w:val="0"/>
        <w:autoSpaceDE w:val="0"/>
        <w:widowControl/>
        <w:spacing w:line="240" w:lineRule="auto" w:before="120" w:after="0"/>
        <w:ind w:left="300" w:right="0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Повышенная государственная академическая стипендия</w:t>
          </w:r>
        </w:hyperlink>
      </w:r>
    </w:p>
    <w:p>
      <w:pPr>
        <w:autoSpaceDN w:val="0"/>
        <w:autoSpaceDE w:val="0"/>
        <w:widowControl/>
        <w:spacing w:line="240" w:lineRule="auto" w:before="358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стипендии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Государственная академическая стипендия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Стипендия, назначаемая за успешную учебу по итогам промежуточной аттестации за семестр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Размер стипендии рублей в месяц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2 360,00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Не ограничено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Кому назначается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Студенты, обучающиеся на бюджете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бакалавры/специалисты/магистры;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курсы (1,2,3,4 / 1,2,3,4,5 / 1,2)</w:t>
      </w: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848"/>
        </w:trPr>
        <w:tc>
          <w:tcPr>
            <w:tcW w:type="dxa" w:w="10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180"/>
            </w:tblGrid>
            <w:tr>
              <w:trPr>
                <w:trHeight w:hRule="exact" w:val="1960"/>
              </w:trPr>
              <w:tc>
                <w:tcPr>
                  <w:tcW w:type="dxa" w:w="10060"/>
                  <w:tcBorders/>
                  <w:shd w:fill="fbf7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308" w:after="0"/>
                    <w:ind w:left="0" w:right="0" w:firstLine="0"/>
                    <w:jc w:val="center"/>
                  </w:pPr>
                  <w:r>
                    <w:rPr>
                      <w:rFonts w:ascii="HSE Sans" w:hAnsi="HSE Sans" w:eastAsia="HSE Sans"/>
                      <w:b/>
                      <w:i w:val="0"/>
                      <w:color w:val="000000"/>
                      <w:sz w:val="24"/>
                    </w:rPr>
                    <w:t>За что назначается (критерии отбора)</w:t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>Мы используем файлы cookies для улучшения работы сайта НИУ ВШЭ и большего удобства его использования.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984" w:right="0" w:firstLine="0"/>
                    <w:jc w:val="left"/>
                  </w:pP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 xml:space="preserve">Более подробную информацию об использовании файлов cookies можно найти </w:t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7AC5"/>
                      <w:sz w:val="18"/>
                    </w:rPr>
                    <w:hyperlink r:id="rId13" w:history="1">
                      <w:r>
                        <w:rPr>
                          <w:rStyle w:val="Hyperlink"/>
                        </w:rPr>
                        <w:t>здесь</w:t>
                      </w:r>
                    </w:hyperlink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>, наши правила обработки</w:t>
                  </w:r>
                </w:p>
                <w:p>
                  <w:pPr>
                    <w:autoSpaceDN w:val="0"/>
                    <w:autoSpaceDE w:val="0"/>
                    <w:widowControl/>
                    <w:spacing w:line="271" w:lineRule="auto" w:before="26" w:after="0"/>
                    <w:ind w:left="300" w:right="0" w:firstLine="0"/>
                    <w:jc w:val="left"/>
                  </w:pP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24"/>
                    </w:rPr>
                    <w:t>Успеваемость на "хорошо" и "от</w:t>
                  </w:r>
                  <w:r>
                    <w:rPr>
                      <w:rFonts w:ascii="HSE Sans" w:hAnsi="HSE Sans" w:eastAsia="HSE Sans"/>
                      <w:b w:val="0"/>
                      <w:i w:val="0"/>
                      <w:strike/>
                      <w:color w:val="000000"/>
                      <w:sz w:val="24"/>
                    </w:rPr>
                    <w:hyperlink r:id="rId14" w:history="1">
                      <w:r>
                        <w:rPr>
                          <w:rStyle w:val="Hyperlink"/>
                        </w:rPr>
                        <w:t>личн</w:t>
                      </w:r>
                    </w:hyperlink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24"/>
                    </w:rPr>
                    <w:t>о" по итогам промежуточной аттестации за 1-2 или 3-4</w:t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 xml:space="preserve">персональных данных – </w:t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7AC5"/>
                      <w:sz w:val="18"/>
                    </w:rPr>
                    <w:hyperlink r:id="rId14" w:history="1">
                      <w:r>
                        <w:rPr>
                          <w:rStyle w:val="Hyperlink"/>
                        </w:rPr>
                        <w:t>здесь</w:t>
                      </w:r>
                    </w:hyperlink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>. Продолжая пользоваться сайтом, вы подтверждаете, что были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210" w:right="0" w:firstLine="0"/>
                    <w:jc w:val="left"/>
                  </w:pP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>проинформированы об использовании файлов cookies сайтом НИУ ВШЭ и согласны с нашими правилами</w:t>
                  </w:r>
                </w:p>
                <w:p>
                  <w:pPr>
                    <w:autoSpaceDN w:val="0"/>
                    <w:tabs>
                      <w:tab w:pos="1344" w:val="left"/>
                    </w:tabs>
                    <w:autoSpaceDE w:val="0"/>
                    <w:widowControl/>
                    <w:spacing w:line="293" w:lineRule="auto" w:before="0" w:after="0"/>
                    <w:ind w:left="300" w:right="0" w:firstLine="0"/>
                    <w:jc w:val="left"/>
                  </w:pP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24"/>
                    </w:rPr>
                    <w:t>модули.</w:t>
                  </w:r>
                  <w:r>
                    <w:tab/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>обработки персональных данных. Вы можете отключить файлы cookies в настройках Вашего браузера.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300" w:right="0" w:firstLine="0"/>
                    <w:jc w:val="left"/>
                  </w:pP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24"/>
                    </w:rPr>
                    <w:t>Бюджетным студентам 1 курса - до окончания первого семестра.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0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44"/>
        </w:trPr>
        <w:tc>
          <w:tcPr>
            <w:tcW w:type="dxa" w:w="5409"/>
            <w:vMerge/>
            <w:tcBorders/>
          </w:tcPr>
          <w:p/>
        </w:tc>
        <w:tc>
          <w:tcPr>
            <w:tcW w:type="dxa" w:w="620"/>
            <w:tcBorders>
              <w:top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Иностранным гражданам и лицам без гражданства, обучающимся на бюджетных местах в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пределах квоты, установленной Правительством Российской Федерации по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межправительственному соглашению, государственная академическая стипендия назначается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и выплачивается вне зависимости от успеваемости.</w:t>
      </w:r>
    </w:p>
    <w:p>
      <w:pPr>
        <w:autoSpaceDN w:val="0"/>
        <w:autoSpaceDE w:val="0"/>
        <w:widowControl/>
        <w:spacing w:line="240" w:lineRule="auto" w:before="1042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В январе и июле (сентябре)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На январь-июнь или июль-декабрь (либо с момента поступления/перевода на бюджетное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место)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Процедура подачи заявки на конкурс/порядок назначения стипендии без конкурса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Заявку подавать не нужно. Стипендия назначается всем, кто соответствует критериям 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Получение оценки «удовлетворительно» или возникновение академической задолженности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по итогам промежуточной аттестации 1 или 3 модуля.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Дополнительная информация (документы, положения)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5" w:history="1">
          <w:r>
            <w:rPr>
              <w:rStyle w:val="Hyperlink"/>
            </w:rPr>
            <w:t>Положение о стипендиальном обеспечении</w:t>
          </w:r>
        </w:hyperlink>
      </w:r>
    </w:p>
    <w:p>
      <w:pPr>
        <w:autoSpaceDN w:val="0"/>
        <w:autoSpaceDE w:val="0"/>
        <w:widowControl/>
        <w:spacing w:line="240" w:lineRule="auto" w:before="1086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Если Вы первокурсник (как бакалавриата, так и магистратуры) и обучаетесь на бюджете,</w:t>
      </w:r>
    </w:p>
    <w:p>
      <w:pPr>
        <w:autoSpaceDN w:val="0"/>
        <w:autoSpaceDE w:val="0"/>
        <w:widowControl/>
        <w:spacing w:line="240" w:lineRule="auto" w:before="60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Вам в течение первого семестра ежемесячно начисляется государственная</w:t>
      </w:r>
    </w:p>
    <w:p>
      <w:pPr>
        <w:autoSpaceDN w:val="0"/>
        <w:autoSpaceDE w:val="0"/>
        <w:widowControl/>
        <w:spacing w:line="240" w:lineRule="auto" w:before="4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академическая стипендия. По итогам 1 модуля выплата стипендии Вам может быть</w:t>
      </w:r>
    </w:p>
    <w:p>
      <w:pPr>
        <w:autoSpaceDN w:val="0"/>
        <w:autoSpaceDE w:val="0"/>
        <w:widowControl/>
        <w:spacing w:line="240" w:lineRule="auto" w:before="4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прекращена, если у Вас будет оценка "удовлетворительно" или задолженность.</w:t>
      </w:r>
    </w:p>
    <w:p>
      <w:pPr>
        <w:autoSpaceDN w:val="0"/>
        <w:autoSpaceDE w:val="0"/>
        <w:widowControl/>
        <w:spacing w:line="240" w:lineRule="auto" w:before="25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Всем остальным студентам (2 курс и выше, 1 курс со 2 семестра)  государственная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724" w:after="0"/>
        <w:ind w:left="300" w:right="28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академическая стипендия назначается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по итогам промежуточной аттестации за</w:t>
      </w:r>
      <w:r>
        <w:br/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предыдущий семестр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в январе и июле. По итогам первого семестра стипендия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выплачивается  с января по июнь; по итогам второго семестра стипендия выплачивается с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июля по декабрь.</w:t>
      </w:r>
    </w:p>
    <w:p>
      <w:pPr>
        <w:autoSpaceDN w:val="0"/>
        <w:autoSpaceDE w:val="0"/>
        <w:widowControl/>
        <w:spacing w:line="262" w:lineRule="auto" w:before="256" w:after="0"/>
        <w:ind w:left="300" w:right="28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Студенты, которым стипендия назначена до ухода в академический отпуск, выплата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стипендии прекращается с первого числа месяца, следующего за датой ухода в отпуск,  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возобновляется при выходе из отпуска на оставшийся период.</w:t>
      </w:r>
    </w:p>
    <w:p>
      <w:pPr>
        <w:autoSpaceDN w:val="0"/>
        <w:autoSpaceDE w:val="0"/>
        <w:widowControl/>
        <w:spacing w:line="240" w:lineRule="auto" w:before="450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Находящемуся в академическом отпуске студенту стипендия назначена быть не может.</w:t>
      </w:r>
    </w:p>
    <w:p>
      <w:pPr>
        <w:autoSpaceDN w:val="0"/>
        <w:autoSpaceDE w:val="0"/>
        <w:widowControl/>
        <w:spacing w:line="257" w:lineRule="auto" w:before="254" w:after="0"/>
        <w:ind w:left="300" w:right="115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Назначение государственной академической стипендии не зависит от назначения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студенту других стипендий.</w:t>
      </w:r>
    </w:p>
    <w:p>
      <w:pPr>
        <w:autoSpaceDN w:val="0"/>
        <w:autoSpaceDE w:val="0"/>
        <w:widowControl/>
        <w:spacing w:line="262" w:lineRule="auto" w:before="60" w:after="0"/>
        <w:ind w:left="300" w:right="100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Студенты-иностранцы, обучающиеся на бюджете в рамках межправительственных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соглашений, получают государственную академическую стипендию весь период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обучения вне зависимости от успеваемости.</w:t>
      </w:r>
    </w:p>
    <w:p>
      <w:pPr>
        <w:autoSpaceDN w:val="0"/>
        <w:autoSpaceDE w:val="0"/>
        <w:widowControl/>
        <w:spacing w:line="240" w:lineRule="auto" w:before="256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Стипендия перечисляется 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на банковскую карту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МИР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.</w:t>
      </w:r>
    </w:p>
    <w:p>
      <w:pPr>
        <w:autoSpaceDN w:val="0"/>
        <w:autoSpaceDE w:val="0"/>
        <w:widowControl/>
        <w:spacing w:line="257" w:lineRule="auto" w:before="60" w:after="0"/>
        <w:ind w:left="300" w:right="172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Ее нужно обязательно оформить и сообщить номер своей банковской карты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в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бухгалтерию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(в Москве - по адресу Мясницкая ул., 20, 425-К).</w:t>
      </w:r>
    </w:p>
    <w:p>
      <w:pPr>
        <w:autoSpaceDN w:val="0"/>
        <w:autoSpaceDE w:val="0"/>
        <w:widowControl/>
        <w:spacing w:line="262" w:lineRule="auto" w:before="44" w:after="0"/>
        <w:ind w:left="300" w:right="43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Информацию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по оформлению банковских карт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для перевода на них стипендии Вы также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можете узнать в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бухгалтерии НИУ ВШЭ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62" w:lineRule="auto" w:before="436" w:after="0"/>
        <w:ind w:left="300" w:right="1008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Контактное лицо: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Буклова Галина Михайловна, менеджер Центра стипендиальных 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благотворительных программ, +7 (495) 772-95-90 доб. 27609, эл.</w:t>
      </w:r>
    </w:p>
    <w:p>
      <w:pPr>
        <w:autoSpaceDN w:val="0"/>
        <w:autoSpaceDE w:val="0"/>
        <w:widowControl/>
        <w:spacing w:line="240" w:lineRule="auto" w:before="4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почта scholarship@hse.ru</w:t>
      </w:r>
    </w:p>
    <w:p>
      <w:pPr>
        <w:autoSpaceDN w:val="0"/>
        <w:autoSpaceDE w:val="0"/>
        <w:widowControl/>
        <w:spacing w:line="240" w:lineRule="auto" w:before="281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8369300</wp:posOffset>
            </wp:positionV>
            <wp:extent cx="4953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8750300</wp:posOffset>
            </wp:positionV>
            <wp:extent cx="13335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9258300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1628139</wp:posOffset>
            </wp:positionV>
            <wp:extent cx="6858000" cy="457517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51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4978400</wp:posOffset>
            </wp:positionV>
            <wp:extent cx="838200" cy="63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960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0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76" w:lineRule="auto" w:before="49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academic_raised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hse.ru/cookie.html" TargetMode="External"/><Relationship Id="rId14" Type="http://schemas.openxmlformats.org/officeDocument/2006/relationships/hyperlink" Target="https://www.hse.ru/data_protection_regulation" TargetMode="External"/><Relationship Id="rId15" Type="http://schemas.openxmlformats.org/officeDocument/2006/relationships/hyperlink" Target="https://www.hse.ru/docs/552119473.html" TargetMode="External"/><Relationship Id="rId16" Type="http://schemas.openxmlformats.org/officeDocument/2006/relationships/hyperlink" Target="https://fd.hse.ru/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hyperlink" Target="https://www.hse.ru/org/hse/info/" TargetMode="External"/><Relationship Id="rId21" Type="http://schemas.openxmlformats.org/officeDocument/2006/relationships/hyperlink" Target="https://figures.hse.ru/" TargetMode="External"/><Relationship Id="rId22" Type="http://schemas.openxmlformats.org/officeDocument/2006/relationships/hyperlink" Target="https://www.hse.ru/orgstructure/" TargetMode="External"/><Relationship Id="rId23" Type="http://schemas.openxmlformats.org/officeDocument/2006/relationships/hyperlink" Target="https://sustainability.hse.ru/" TargetMode="External"/><Relationship Id="rId24" Type="http://schemas.openxmlformats.org/officeDocument/2006/relationships/hyperlink" Target="https://www.hse.ru/org/persons/" TargetMode="External"/><Relationship Id="rId25" Type="http://schemas.openxmlformats.org/officeDocument/2006/relationships/hyperlink" Target="https://www.hse.ru/buildinghse" TargetMode="External"/><Relationship Id="rId26" Type="http://schemas.openxmlformats.org/officeDocument/2006/relationships/hyperlink" Target="https://www.hse.ru/org/hse/aup/procurement/" TargetMode="External"/><Relationship Id="rId27" Type="http://schemas.openxmlformats.org/officeDocument/2006/relationships/hyperlink" Target="https://www.hse.ru/appeal/" TargetMode="External"/><Relationship Id="rId28" Type="http://schemas.openxmlformats.org/officeDocument/2006/relationships/hyperlink" Target="https://endowment.hse.ru/" TargetMode="External"/><Relationship Id="rId29" Type="http://schemas.openxmlformats.org/officeDocument/2006/relationships/hyperlink" Target="https://www.hse.ru/anticorruption" TargetMode="External"/><Relationship Id="rId30" Type="http://schemas.openxmlformats.org/officeDocument/2006/relationships/hyperlink" Target="https://www.hse.ru/anticorruption/information" TargetMode="External"/><Relationship Id="rId31" Type="http://schemas.openxmlformats.org/officeDocument/2006/relationships/hyperlink" Target="https://www.hse.ru/sveden/" TargetMode="External"/><Relationship Id="rId32" Type="http://schemas.openxmlformats.org/officeDocument/2006/relationships/hyperlink" Target="https://inclusive.hse.ru/" TargetMode="External"/><Relationship Id="rId33" Type="http://schemas.openxmlformats.org/officeDocument/2006/relationships/hyperlink" Target="https://pay.hse.ru/" TargetMode="External"/><Relationship Id="rId34" Type="http://schemas.openxmlformats.org/officeDocument/2006/relationships/hyperlink" Target="https://www.hse.ru/career" TargetMode="External"/><Relationship Id="rId35" Type="http://schemas.openxmlformats.org/officeDocument/2006/relationships/hyperlink" Target="https://www.hse.ru/adm/edit/edit.html?goto=%2AL3NjaG9sYXJzaGlwcy9hY2FkZW1pYz9fcj0yODAwMzYyMTc3NDcwMTg1Ny43MDI5MQ%3D%3D%5E&amp;id=187627760&amp;cid=20594&amp;addon_name=default&amp;newportal=1" TargetMode="External"/><Relationship Id="rId36" Type="http://schemas.openxmlformats.org/officeDocument/2006/relationships/hyperlink" Target="https://www.hse.ru/contacts.html" TargetMode="External"/><Relationship Id="rId37" Type="http://schemas.openxmlformats.org/officeDocument/2006/relationships/hyperlink" Target="https://www.hse.ru/copyright" TargetMode="External"/><Relationship Id="rId38" Type="http://schemas.openxmlformats.org/officeDocument/2006/relationships/hyperlink" Target="https://www.hse.ru/sitemap.html" TargetMode="External"/><Relationship Id="rId39" Type="http://schemas.openxmlformats.org/officeDocument/2006/relationships/hyperlink" Target="https://design.hse.ru/" TargetMode="External"/><Relationship Id="rId40" Type="http://schemas.openxmlformats.org/officeDocument/2006/relationships/image" Target="media/image5.png"/><Relationship Id="rId4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