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Именные стипендии Минобрнауки России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606"/>
        <w:gridCol w:w="3606"/>
        <w:gridCol w:w="3606"/>
      </w:tblGrid>
      <w:tr>
        <w:trPr>
          <w:trHeight w:hRule="exact" w:val="352"/>
        </w:trPr>
        <w:tc>
          <w:tcPr>
            <w:tcW w:type="dxa" w:w="24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Именные стипендии:</w:t>
            </w:r>
          </w:p>
        </w:tc>
        <w:tc>
          <w:tcPr>
            <w:tcW w:type="dxa" w:w="310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Выдающихся ученых НИУ ВШЭ</w:t>
                </w:r>
              </w:hyperlink>
            </w:r>
          </w:p>
        </w:tc>
        <w:tc>
          <w:tcPr>
            <w:tcW w:type="dxa" w:w="258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2580"/>
            </w:tblGrid>
            <w:tr>
              <w:trPr>
                <w:trHeight w:hRule="exact" w:val="324"/>
              </w:trPr>
              <w:tc>
                <w:tcPr>
                  <w:tcW w:type="dxa" w:w="2372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Минобрнауки России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"/>
        </w:trPr>
        <w:tc>
          <w:tcPr>
            <w:tcW w:type="dxa" w:w="24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4" w:lineRule="auto" w:before="320" w:after="0"/>
        <w:ind w:left="300" w:right="1008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Именные стипендии  Минобрнауки России (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2" w:history="1">
          <w:r>
            <w:rPr>
              <w:rStyle w:val="Hyperlink"/>
            </w:rPr>
            <w:t>имени А.А. Вознесенского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,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3" w:history="1">
          <w:r>
            <w:rPr>
              <w:rStyle w:val="Hyperlink"/>
            </w:rPr>
            <w:t>Е.Т. Гайдара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,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Д.С.</w:t>
          </w:r>
        </w:hyperlink>
      </w:r>
    </w:p>
    <w:p>
      <w:pPr>
        <w:autoSpaceDN w:val="0"/>
        <w:autoSpaceDE w:val="0"/>
        <w:widowControl/>
        <w:spacing w:line="259" w:lineRule="auto" w:before="36" w:after="0"/>
        <w:ind w:left="300" w:right="417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Лихачева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>,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 xml:space="preserve"> А.А. Собчака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,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А.И. Солженицына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>,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7" w:history="1">
          <w:r>
            <w:rPr>
              <w:rStyle w:val="Hyperlink"/>
            </w:rPr>
            <w:t xml:space="preserve"> В.А. Туманова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>)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Страница на сайте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8" w:history="1">
          <w:r>
            <w:rPr>
              <w:rStyle w:val="Hyperlink"/>
            </w:rPr>
            <w:t>стипендиатроссии.рф</w:t>
          </w:r>
        </w:hyperlink>
      </w:r>
    </w:p>
    <w:p>
      <w:pPr>
        <w:autoSpaceDN w:val="0"/>
        <w:autoSpaceDE w:val="0"/>
        <w:widowControl/>
        <w:spacing w:line="302" w:lineRule="auto" w:before="666" w:after="0"/>
        <w:ind w:left="300" w:right="72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Финансовая поддержка студентов, занимающихся научной деятельностью по направлению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деятельности ученого, имени которого утверждена стипендия</w:t>
      </w:r>
    </w:p>
    <w:p>
      <w:pPr>
        <w:autoSpaceDN w:val="0"/>
        <w:autoSpaceDE w:val="0"/>
        <w:widowControl/>
        <w:spacing w:line="314" w:lineRule="auto" w:before="652" w:after="0"/>
        <w:ind w:left="300" w:right="6768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15 000 руб.</w:t>
      </w:r>
    </w:p>
    <w:p>
      <w:pPr>
        <w:autoSpaceDN w:val="0"/>
        <w:autoSpaceDE w:val="0"/>
        <w:widowControl/>
        <w:spacing w:line="314" w:lineRule="auto" w:before="666" w:after="0"/>
        <w:ind w:left="300" w:right="288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10 каждой именной стипендии на все образовательные учреждения РФ</w:t>
      </w:r>
    </w:p>
    <w:p>
      <w:pPr>
        <w:autoSpaceDN w:val="0"/>
        <w:autoSpaceDE w:val="0"/>
        <w:widowControl/>
        <w:spacing w:line="298" w:lineRule="auto" w:before="666" w:after="0"/>
        <w:ind w:left="300" w:right="72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Студентам  очной формы обучения, имеющим высокие успехи в учебе за время обучения в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1118"/>
        </w:trPr>
        <w:tc>
          <w:tcPr>
            <w:tcW w:type="dxa" w:w="10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  <w:tab w:pos="984" w:val="left"/>
                <w:tab w:pos="1692" w:val="left"/>
              </w:tabs>
              <w:autoSpaceDE w:val="0"/>
              <w:widowControl/>
              <w:spacing w:line="338" w:lineRule="auto" w:before="308" w:after="0"/>
              <w:ind w:left="300" w:right="288" w:firstLine="0"/>
              <w:jc w:val="left"/>
            </w:pP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>тбо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ра)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20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80"/>
            <w:tcBorders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6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/>
          </w:tcPr>
          <w:p/>
        </w:tc>
        <w:tc>
          <w:tcPr>
            <w:tcW w:type="dxa" w:w="68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1776"/>
        </w:trPr>
        <w:tc>
          <w:tcPr>
            <w:tcW w:type="dxa" w:w="10200"/>
            <w:tcBorders>
              <w:bottom w:sz="5.600000000000023" w:val="single" w:color="#D9D9D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За высокие научные (литературные, исследовательские) достижения во время обучения в НИУ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ВШЭ </w:t>
            </w:r>
          </w:p>
        </w:tc>
      </w:tr>
    </w:tbl>
    <w:p>
      <w:pPr>
        <w:autoSpaceDN w:val="0"/>
        <w:autoSpaceDE w:val="0"/>
        <w:widowControl/>
        <w:spacing w:line="314" w:lineRule="auto" w:before="330" w:after="0"/>
        <w:ind w:left="300" w:right="158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В октябре публикуется приказ Минобрнауки России по утверждению стипендиатов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9476740</wp:posOffset>
            </wp:positionV>
            <wp:extent cx="6858000" cy="12160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60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auto" w:before="666" w:after="0"/>
        <w:ind w:left="300" w:right="633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На 1 учебный год (сентябрь - август)</w:t>
      </w:r>
    </w:p>
    <w:p>
      <w:pPr>
        <w:autoSpaceDN w:val="0"/>
        <w:autoSpaceDE w:val="0"/>
        <w:widowControl/>
        <w:spacing w:line="310" w:lineRule="auto" w:before="666" w:after="0"/>
        <w:ind w:left="300" w:right="144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 на конкурс/порядок назначения стипендии без конкурса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Заявки подаются в электронном виде в феврале-марте.</w:t>
      </w:r>
    </w:p>
    <w:p>
      <w:pPr>
        <w:autoSpaceDN w:val="0"/>
        <w:autoSpaceDE w:val="0"/>
        <w:widowControl/>
        <w:spacing w:line="264" w:lineRule="auto" w:before="50" w:after="0"/>
        <w:ind w:left="300" w:right="1008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 заявке прикрепляются документы, подтверждающие научные и учебные достижения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участника конкурса. Отбор кандидатов от НИУ ВШЭ проводит ученый совет НИУ ВШЭ.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Стипендиатов утверждает комиссия Минобрнауки России.</w:t>
      </w:r>
    </w:p>
    <w:p>
      <w:pPr>
        <w:autoSpaceDN w:val="0"/>
        <w:autoSpaceDE w:val="0"/>
        <w:widowControl/>
        <w:spacing w:line="314" w:lineRule="auto" w:before="652" w:after="0"/>
        <w:ind w:left="300" w:right="57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из вуза, наличие оценок «удовлетворительно» и академической задолженности</w:t>
      </w:r>
    </w:p>
    <w:p>
      <w:pPr>
        <w:autoSpaceDN w:val="0"/>
        <w:autoSpaceDE w:val="0"/>
        <w:widowControl/>
        <w:spacing w:line="240" w:lineRule="auto" w:before="188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6654800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7035800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7543800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26" w:lineRule="auto" w:before="944" w:after="0"/>
        <w:ind w:left="300" w:right="7632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3" w:lineRule="auto" w:before="716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-180340</wp:posOffset>
            </wp:positionV>
            <wp:extent cx="6858000" cy="43910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10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3162300</wp:posOffset>
            </wp:positionV>
            <wp:extent cx="838200" cy="76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76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name_new" TargetMode="External"/><Relationship Id="rId12" Type="http://schemas.openxmlformats.org/officeDocument/2006/relationships/hyperlink" Target="https://base.garant.ru/70231872/" TargetMode="External"/><Relationship Id="rId13" Type="http://schemas.openxmlformats.org/officeDocument/2006/relationships/hyperlink" Target="https://base.garant.ru/6741122/" TargetMode="External"/><Relationship Id="rId14" Type="http://schemas.openxmlformats.org/officeDocument/2006/relationships/hyperlink" Target="https://base.garant.ru/71296214/" TargetMode="External"/><Relationship Id="rId15" Type="http://schemas.openxmlformats.org/officeDocument/2006/relationships/hyperlink" Target="http://base.garant.ru/1588265/" TargetMode="External"/><Relationship Id="rId16" Type="http://schemas.openxmlformats.org/officeDocument/2006/relationships/hyperlink" Target="http://base.garant.ru/6723751/" TargetMode="External"/><Relationship Id="rId17" Type="http://schemas.openxmlformats.org/officeDocument/2006/relationships/hyperlink" Target="https://base.garant.ru/70151866/" TargetMode="External"/><Relationship Id="rId18" Type="http://schemas.openxmlformats.org/officeDocument/2006/relationships/hyperlink" Target="https://xn--d1abicxkmi7j.xn--p1ai/personal" TargetMode="External"/><Relationship Id="rId19" Type="http://schemas.openxmlformats.org/officeDocument/2006/relationships/hyperlink" Target="https://www.hse.ru/data_protection_regulation" TargetMode="External"/><Relationship Id="rId20" Type="http://schemas.openxmlformats.org/officeDocument/2006/relationships/hyperlink" Target="https://www.hse.ru/cookie.html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image" Target="media/image5.png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adm/edit/edit.html?goto=%2AL3NjaG9sYXJzaGlwcy9uYW1lX21vbj9fcj0yODA5MDkxMTc3NDcwMzQwMy43MDY4Mw%3D%3D%5E&amp;id=187610490&amp;cid=20594&amp;addon_name=default&amp;newportal=1" TargetMode="External"/><Relationship Id="rId42" Type="http://schemas.openxmlformats.org/officeDocument/2006/relationships/hyperlink" Target="https://www.hse.ru/contacts.html" TargetMode="External"/><Relationship Id="rId43" Type="http://schemas.openxmlformats.org/officeDocument/2006/relationships/hyperlink" Target="https://www.hse.ru/copyright" TargetMode="External"/><Relationship Id="rId44" Type="http://schemas.openxmlformats.org/officeDocument/2006/relationships/hyperlink" Target="https://www.hse.ru/sitemap.html" TargetMode="External"/><Relationship Id="rId45" Type="http://schemas.openxmlformats.org/officeDocument/2006/relationships/hyperlink" Target="https://design.hse.ru/" TargetMode="External"/><Relationship Id="rId46" Type="http://schemas.openxmlformats.org/officeDocument/2006/relationships/image" Target="media/image6.png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