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3785870</wp:posOffset>
            </wp:positionV>
            <wp:extent cx="6477000" cy="229655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965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6361430</wp:posOffset>
            </wp:positionV>
            <wp:extent cx="6477000" cy="229285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928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231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16" w:after="542"/>
        <w:ind w:left="300" w:right="1152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Скидки на оплату обучения для студентов НИУ ВШЭ-</w:t>
      </w:r>
      <w:r>
        <w:rPr>
          <w:rFonts w:ascii="HSE Sans" w:hAnsi="HSE Sans" w:eastAsia="HSE Sans"/>
          <w:b/>
          <w:i w:val="0"/>
          <w:color w:val="000000"/>
          <w:sz w:val="38"/>
        </w:rPr>
        <w:t>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06"/>
        <w:gridCol w:w="3606"/>
        <w:gridCol w:w="3606"/>
      </w:tblGrid>
      <w:tr>
        <w:trPr>
          <w:trHeight w:hRule="exact" w:val="352"/>
        </w:trPr>
        <w:tc>
          <w:tcPr>
            <w:tcW w:type="dxa" w:w="238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84"/>
            </w:tblGrid>
            <w:tr>
              <w:trPr>
                <w:trHeight w:hRule="exact" w:val="324"/>
              </w:trPr>
              <w:tc>
                <w:tcPr>
                  <w:tcW w:type="dxa" w:w="2160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НИУ ВШЭ-Москва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  <w:tc>
          <w:tcPr>
            <w:tcW w:type="dxa" w:w="310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6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238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2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8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НИУ ВШЭ-Пермь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958"/>
        </w:trPr>
        <w:tc>
          <w:tcPr>
            <w:tcW w:type="dxa" w:w="1020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30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Виды скидок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5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Условия получения скидок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1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Лишение скидок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5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Иностранным студентам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75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30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Рейтинг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5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Образовательный кредит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9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Перевод на бесплатное обучение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Оплата обучения и проживания в общежитии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578" w:after="1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Предоставление скидок в НИУ ВШЭ – Москва регулируется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Положением 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818"/>
        </w:trPr>
        <w:tc>
          <w:tcPr>
            <w:tcW w:type="dxa" w:w="10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" w:after="0"/>
              <w:ind w:left="30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предоставлении скидок по оплате обучения студентам, обуча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ющи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мся по договорам об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9" w:history="1">
                <w:r>
                  <w:rPr>
                    <w:rStyle w:val="Hyperlink"/>
                  </w:rPr>
                  <w:t>Мы используем файлы cookies для улучшения работы сайта НИУ ВШЭ и большего удобства его использования.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9" w:history="1">
                <w:r>
                  <w:rPr>
                    <w:rStyle w:val="Hyperlink"/>
                  </w:rPr>
                  <w:t xml:space="preserve">Более подробную информацию об использовании файлов cookies можно найти 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9" w:history="1">
                <w:r>
                  <w:rPr>
                    <w:rStyle w:val="Hyperlink"/>
                  </w:rPr>
                  <w:t>, наши правила обработки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образовании, заключаемым п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ри п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риеме на обучение за счет с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strike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редс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тв физических и или</w:t>
                </w:r>
              </w:hyperlink>
            </w:r>
          </w:p>
        </w:tc>
        <w:tc>
          <w:tcPr>
            <w:tcW w:type="dxa" w:w="52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/>
          </w:tcPr>
          <w:p/>
        </w:tc>
        <w:tc>
          <w:tcPr>
            <w:tcW w:type="dxa" w:w="52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440"/>
        </w:trPr>
        <w:tc>
          <w:tcPr>
            <w:tcW w:type="dxa" w:w="1080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4" w:after="0"/>
              <w:ind w:left="30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юридических лиц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9" w:history="1">
                <w:r>
                  <w:rPr>
                    <w:rStyle w:val="Hyperlink"/>
                  </w:rPr>
                  <w:t>проинформир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9" w:history="1">
                <w:r>
                  <w:rPr>
                    <w:rStyle w:val="Hyperlink"/>
                  </w:rPr>
                  <w:t>обработки п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ерсональных данных. Вы можете отключить файлы cookies в настройках Вашего браузера.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Положение не распространяется на студентов, обучающихся в филиалах НИУ ВШЭ</w:t>
            </w:r>
          </w:p>
        </w:tc>
      </w:tr>
    </w:tbl>
    <w:p>
      <w:pPr>
        <w:autoSpaceDN w:val="0"/>
        <w:autoSpaceDE w:val="0"/>
        <w:widowControl/>
        <w:spacing w:line="269" w:lineRule="auto" w:before="80" w:after="700"/>
        <w:ind w:left="300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(порядок и основания предоставления скидок в филиалах НИУ ВШЭ устанавливаются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локальными нормативными актами филиалов, утверждаемыми учеными советами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филиалов НИУ ВШЭ) или являющихся иностранными гражданами или лицами без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гражданства, поступающими в рамках отдельного конкурса (порядок и основания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предоставления скидок устанавливаются отдельными локальными нормативными актами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НИУ ВШЭ).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8801100</wp:posOffset>
            </wp:positionV>
            <wp:extent cx="6477000" cy="1054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3190240</wp:posOffset>
            </wp:positionH>
            <wp:positionV relativeFrom="page">
              <wp:posOffset>9362440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602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648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Виды скидок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Централизованные скидки</w:t>
            </w:r>
          </w:p>
        </w:tc>
      </w:tr>
    </w:tbl>
    <w:p>
      <w:pPr>
        <w:autoSpaceDN w:val="0"/>
        <w:autoSpaceDE w:val="0"/>
        <w:widowControl/>
        <w:spacing w:line="240" w:lineRule="auto" w:before="188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Устанавливаются по следующим основаниям:</w:t>
      </w:r>
    </w:p>
    <w:p>
      <w:pPr>
        <w:autoSpaceDN w:val="0"/>
        <w:autoSpaceDE w:val="0"/>
        <w:widowControl/>
        <w:spacing w:line="254" w:lineRule="auto" w:before="256" w:after="0"/>
        <w:ind w:left="1424" w:right="230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 результатам поступления по программам бакалавриата/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специалитета/магистратуры;</w:t>
      </w:r>
    </w:p>
    <w:p>
      <w:pPr>
        <w:autoSpaceDN w:val="0"/>
        <w:autoSpaceDE w:val="0"/>
        <w:widowControl/>
        <w:spacing w:line="264" w:lineRule="auto" w:before="240" w:after="0"/>
        <w:ind w:left="14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скидки студентам-детям работников НИУ ВШЭ и студентам-работникам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НИУ ВШЭ (кроме сотрудников, работающих на условиях внешнего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совместительства);</w:t>
      </w:r>
    </w:p>
    <w:p>
      <w:pPr>
        <w:autoSpaceDN w:val="0"/>
        <w:autoSpaceDE w:val="0"/>
        <w:widowControl/>
        <w:spacing w:line="264" w:lineRule="auto" w:before="240" w:after="0"/>
        <w:ind w:left="14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 результатам обучения по программам бакалавриата/специалитета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(студентам магистратуры скидка по результатам обучения не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предоставляется);</w:t>
      </w:r>
    </w:p>
    <w:p>
      <w:pPr>
        <w:autoSpaceDN w:val="0"/>
        <w:autoSpaceDE w:val="0"/>
        <w:widowControl/>
        <w:spacing w:line="240" w:lineRule="auto" w:before="256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Скидки за счет бюджета факультета</w:t>
      </w:r>
    </w:p>
    <w:p>
      <w:pPr>
        <w:autoSpaceDN w:val="0"/>
        <w:autoSpaceDE w:val="0"/>
        <w:widowControl/>
        <w:spacing w:line="254" w:lineRule="auto" w:before="256" w:after="30"/>
        <w:ind w:left="824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зависимости от источника финансирования скидки могут быть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централизованными или за счет средств бюджета факультета (или средств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5409"/>
        <w:gridCol w:w="5409"/>
      </w:tblGrid>
      <w:tr>
        <w:trPr>
          <w:trHeight w:hRule="exact" w:val="1114"/>
        </w:trPr>
        <w:tc>
          <w:tcPr>
            <w:tcW w:type="dxa" w:w="7652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полностью платных программ).</w:t>
            </w:r>
          </w:p>
        </w:tc>
        <w:tc>
          <w:tcPr>
            <w:tcW w:type="dxa" w:w="239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12"/>
        </w:trPr>
        <w:tc>
          <w:tcPr>
            <w:tcW w:type="dxa" w:w="7652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0" w:after="0"/>
              <w:ind w:left="232" w:right="1008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>Централизованные скидки при поступлении в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бакалавриат/специалитет </w:t>
            </w:r>
          </w:p>
        </w:tc>
        <w:tc>
          <w:tcPr>
            <w:tcW w:type="dxa" w:w="239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64" w:after="0"/>
              <w:ind w:left="0" w:right="322" w:firstLine="0"/>
              <w:jc w:val="right"/>
            </w:pPr>
            <w:r>
              <w:rPr>
                <w:rFonts w:ascii="HSE Slab" w:hAnsi="HSE Slab" w:eastAsia="HSE Slab"/>
                <w:b w:val="0"/>
                <w:i w:val="0"/>
                <w:color w:val="007AC5"/>
                <w:sz w:val="12"/>
              </w:rPr>
              <w:t>развернуть</w:t>
            </w:r>
            <w:r>
              <w:rPr>
                <w:rFonts w:ascii="HSE Slab" w:hAnsi="HSE Slab" w:eastAsia="HSE Slab"/>
                <w:b w:val="0"/>
                <w:i w:val="0"/>
                <w:color w:val="007AC5"/>
                <w:sz w:val="12"/>
              </w:rPr>
              <w:t>все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276"/>
        </w:trPr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0"/>
            </w:tblGrid>
            <w:tr>
              <w:trPr>
                <w:trHeight w:hRule="exact" w:val="1256"/>
              </w:trPr>
              <w:tc>
                <w:tcPr>
                  <w:tcW w:type="dxa" w:w="8700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Централизованные скидки при поступлении в магистратуру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6191250</wp:posOffset>
                  </wp:positionH>
                  <wp:positionV relativeFrom="page">
                    <wp:posOffset>666750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94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628"/>
              </w:trPr>
              <w:tc>
                <w:tcPr>
                  <w:tcW w:type="dxa" w:w="10200"/>
                  <w:tcBorders/>
                  <w:shd w:fill="effa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288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Централизованные скидки по результатам обучения в бакалавриате/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специалитете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2105660</wp:posOffset>
                        </wp:positionH>
                        <wp:positionV relativeFrom="page">
                          <wp:posOffset>1905000</wp:posOffset>
                        </wp:positionV>
                        <wp:extent cx="190500" cy="190500"/>
                        <wp:wrapNone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5409"/>
        <w:gridCol w:w="5409"/>
      </w:tblGrid>
      <w:tr>
        <w:trPr>
          <w:trHeight w:hRule="exact" w:val="2258"/>
        </w:trPr>
        <w:tc>
          <w:tcPr>
            <w:tcW w:type="dxa" w:w="5212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8" w:after="0"/>
              <w:ind w:left="232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Скидки за счет средств факультета </w:t>
            </w:r>
          </w:p>
        </w:tc>
        <w:tc>
          <w:tcPr>
            <w:tcW w:type="dxa" w:w="483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4010660</wp:posOffset>
                  </wp:positionH>
                  <wp:positionV relativeFrom="page">
                    <wp:posOffset>2905760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224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8" w:after="0"/>
              <w:ind w:left="524" w:right="72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Назначение скидок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При наличии у претендента права на централизованную скидку по нескольким</w:t>
            </w:r>
          </w:p>
        </w:tc>
      </w:tr>
    </w:tbl>
    <w:p>
      <w:pPr>
        <w:autoSpaceDN w:val="0"/>
        <w:autoSpaceDE w:val="0"/>
        <w:widowControl/>
        <w:spacing w:line="262" w:lineRule="auto" w:before="22" w:after="0"/>
        <w:ind w:left="824" w:right="172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основаниям ему предоставляется одна централизованная скидка по 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усмотрению.</w:t>
      </w:r>
    </w:p>
    <w:p>
      <w:pPr>
        <w:autoSpaceDN w:val="0"/>
        <w:autoSpaceDE w:val="0"/>
        <w:widowControl/>
        <w:spacing w:line="264" w:lineRule="auto" w:before="44" w:after="0"/>
        <w:ind w:left="8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Централизованные скидки не предоставляются студентам, обучающимся по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образовательным программам, не имеющим бюджетных мест или полностью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платных, если иное не установлено Положением.</w:t>
      </w:r>
    </w:p>
    <w:p>
      <w:pPr>
        <w:autoSpaceDN w:val="0"/>
        <w:autoSpaceDE w:val="0"/>
        <w:widowControl/>
        <w:spacing w:line="266" w:lineRule="auto" w:before="46" w:after="22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Скидки за счет бюджета факультета могут суммироваться с одной из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централизованных скидок, за исключением скидок, устанавливаемых МИЭФ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НИУ ВШЭ, а также скидок за счет средств полностью платных программ, если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иное не установлено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Положением о предоставлении скидок по оплате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926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обучения.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2022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6" w:right="43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Условия получения скидки по результатам обучения в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бакалавриате/специалитете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Скидка размером от 25 до 70% предоставляется студенту при 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одновременном</w:t>
            </w:r>
          </w:p>
        </w:tc>
      </w:tr>
    </w:tbl>
    <w:p>
      <w:pPr>
        <w:autoSpaceDN w:val="0"/>
        <w:autoSpaceDE w:val="0"/>
        <w:widowControl/>
        <w:spacing w:line="254" w:lineRule="auto" w:before="22" w:after="196"/>
        <w:ind w:left="824" w:right="1872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выполнении всех перечисленных условий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течение предшествующего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учебного года: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140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1. Студент не имеет дисциплинарного взыскания в виде выговора.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950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2" w:after="0"/>
              <w:ind w:left="14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2. По результатам промежуточной аттестации по всем элементам учебного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28"/>
        </w:trPr>
        <w:tc>
          <w:tcPr>
            <w:tcW w:type="dxa" w:w="70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плана (до пересдач) студент: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819"/>
      </w:tblGrid>
      <w:tr>
        <w:trPr>
          <w:trHeight w:hRule="exact" w:val="426"/>
        </w:trPr>
        <w:tc>
          <w:tcPr>
            <w:tcW w:type="dxa" w:w="92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имеет не более двух оценок 4 и/или 5 баллов по десятибалльной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819"/>
      </w:tblGrid>
      <w:tr>
        <w:trPr>
          <w:trHeight w:hRule="exact" w:val="428"/>
        </w:trPr>
        <w:tc>
          <w:tcPr>
            <w:tcW w:type="dxa" w:w="57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6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шкале;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819"/>
      </w:tblGrid>
      <w:tr>
        <w:trPr>
          <w:trHeight w:hRule="exact" w:val="1012"/>
        </w:trPr>
        <w:tc>
          <w:tcPr>
            <w:tcW w:type="dxa" w:w="92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 имеет оценки ниже 4 баллов по десятибалльной шкале;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06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 имеет неявок на аттестационные испытания без уважительной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819"/>
      </w:tblGrid>
      <w:tr>
        <w:trPr>
          <w:trHeight w:hRule="exact" w:val="428"/>
        </w:trPr>
        <w:tc>
          <w:tcPr>
            <w:tcW w:type="dxa" w:w="59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06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причины.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28"/>
        </w:trPr>
        <w:tc>
          <w:tcPr>
            <w:tcW w:type="dxa" w:w="95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3. Если студент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 xml:space="preserve"> по сумме двух последних текущих рейтингов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входит (см.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04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ниже):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65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632"/>
              </w:trPr>
              <w:tc>
                <w:tcPr>
                  <w:tcW w:type="dxa" w:w="10200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8" w:after="0"/>
                    <w:ind w:left="300" w:right="432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Если студент по сумме двух последних текущих рейтингов входит -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Москва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1562100</wp:posOffset>
                        </wp:positionH>
                        <wp:positionV relativeFrom="page">
                          <wp:posOffset>4629150</wp:posOffset>
                        </wp:positionV>
                        <wp:extent cx="190500" cy="190500"/>
                        <wp:wrapNone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2632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232" w:right="288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>Если студент по сумме двух последних текущих рейтингов входит -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Санкт-Петербург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2428240</wp:posOffset>
                  </wp:positionH>
                  <wp:positionV relativeFrom="page">
                    <wp:posOffset>5867400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228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8" w:after="0"/>
              <w:ind w:left="524" w:right="4176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Основания для лишения скидки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Студент может быть лишен скидки: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428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1. 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Любого вида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- если ему объявлено дисциплинарное взыскание в виде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выговора за нарушение Устава НИУ ВШЭ, Правил внутреннего распорядка</w:t>
      </w:r>
    </w:p>
    <w:p>
      <w:pPr>
        <w:autoSpaceDN w:val="0"/>
        <w:autoSpaceDE w:val="0"/>
        <w:widowControl/>
        <w:spacing w:line="240" w:lineRule="auto" w:before="60" w:after="0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обучающихся НИУ ВШЭ, Правил внутреннего распорядка общежития и</w:t>
      </w:r>
    </w:p>
    <w:p>
      <w:pPr>
        <w:autoSpaceDN w:val="0"/>
        <w:autoSpaceDE w:val="0"/>
        <w:widowControl/>
        <w:spacing w:line="240" w:lineRule="auto" w:before="46" w:after="24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иных локальных актов по вопросам организации и осуществления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26"/>
        </w:trPr>
        <w:tc>
          <w:tcPr>
            <w:tcW w:type="dxa" w:w="7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образовательной деятельности.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36"/>
        </w:trPr>
        <w:tc>
          <w:tcPr>
            <w:tcW w:type="dxa" w:w="90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2. 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Централизованной по результатам поступления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на программы</w:t>
            </w:r>
          </w:p>
        </w:tc>
      </w:tr>
    </w:tbl>
    <w:p>
      <w:pPr>
        <w:autoSpaceDN w:val="0"/>
        <w:autoSpaceDE w:val="0"/>
        <w:widowControl/>
        <w:spacing w:line="240" w:lineRule="auto" w:before="30" w:after="24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бакалавриата/специалитета (за исключением скидки по результатам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06"/>
        </w:trPr>
        <w:tc>
          <w:tcPr>
            <w:tcW w:type="dxa" w:w="96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вступительных испытаний) и магистратуры - при несоответствии студента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928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14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одному или нескольким критериям успешного обучения, выразившееся</w:t>
            </w:r>
          </w:p>
        </w:tc>
      </w:tr>
    </w:tbl>
    <w:p>
      <w:pPr>
        <w:autoSpaceDN w:val="0"/>
        <w:autoSpaceDE w:val="0"/>
        <w:widowControl/>
        <w:spacing w:line="266" w:lineRule="auto" w:before="30" w:after="30"/>
        <w:ind w:left="1412" w:right="72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получении в предшествующем учебном году более двух оценок 4 и/или 5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баллов по результатам промежуточной аттестации до пересдач – по 10-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балльной шкале; или в получении по результатам промежуточной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аттестации (до пересдач) оценки ниже 4 баллов по десятибалльной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шкале; или в наличии неявок на аттестационные испытания без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34"/>
        </w:trPr>
        <w:tc>
          <w:tcPr>
            <w:tcW w:type="dxa" w:w="6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уважительной причины.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819"/>
      </w:tblGrid>
      <w:tr>
        <w:trPr>
          <w:trHeight w:hRule="exact" w:val="428"/>
        </w:trPr>
        <w:tc>
          <w:tcPr>
            <w:tcW w:type="dxa" w:w="89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1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3. 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Централизованной по результатам обучения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по программам</w:t>
            </w:r>
          </w:p>
        </w:tc>
      </w:tr>
    </w:tbl>
    <w:p>
      <w:pPr>
        <w:autoSpaceDN w:val="0"/>
        <w:autoSpaceDE w:val="0"/>
        <w:widowControl/>
        <w:spacing w:line="240" w:lineRule="auto" w:before="22" w:after="22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бакалавриата/специалитета - если он имеет незакрытую академическую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04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задолженность после окончания периода пересдач.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26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Скидки для иностранных студентов</w:t>
            </w:r>
          </w:p>
        </w:tc>
      </w:tr>
    </w:tbl>
    <w:p>
      <w:pPr>
        <w:autoSpaceDN w:val="0"/>
        <w:autoSpaceDE w:val="0"/>
        <w:widowControl/>
        <w:spacing w:line="254" w:lineRule="auto" w:before="134" w:after="0"/>
        <w:ind w:left="8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Скидки предоставляются иностранным гражданам с момента зачисления в НИУ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ВШЭ и сохраняются на весь период обучения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НИУ ВШЭ при условии</w:t>
      </w:r>
      <w:r>
        <w:rPr>
          <w:w w:val="98.52272380482067"/>
          <w:rFonts w:ascii="HSE Sans" w:hAnsi="HSE Sans" w:eastAsia="HSE Sans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40" w:lineRule="auto" w:before="60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соответствия иностранных граждан критериям успешного обучения.</w:t>
      </w:r>
    </w:p>
    <w:p>
      <w:pPr>
        <w:autoSpaceDN w:val="0"/>
        <w:autoSpaceDE w:val="0"/>
        <w:widowControl/>
        <w:spacing w:line="257" w:lineRule="auto" w:before="254" w:after="22"/>
        <w:ind w:left="824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Критериями успешного обучения является одновременное выполнение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иностранным гражданином следующих условий при обучении по основной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432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22" w:after="0"/>
              <w:ind w:left="1412" w:right="1152" w:hanging="588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образовательной программе НИУ ВШЭ: 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1. Иностранный гражданин не имеет дисциплинарного взыскания в виде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выговора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. </w:t>
            </w:r>
            <w:r>
              <w:rPr>
                <w:w w:val="98.52272380482067"/>
                <w:rFonts w:ascii="HSE Sans" w:hAnsi="HSE Sans" w:eastAsia="HSE Sans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260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1412" w:right="187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2. По результатам каждой промежуточной аттестации, которая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установлена графиком учебного процесса за учебный год, по всем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элементам учебного плана иностранный гражданин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w w:val="98.52272380482067"/>
                <w:rFonts w:ascii="HSE Sans" w:hAnsi="HSE Sans" w:eastAsia="HSE Sans"/>
                <w:b w:val="0"/>
                <w:i w:val="0"/>
                <w:color w:val="000000"/>
                <w:sz w:val="22"/>
              </w:rPr>
              <w:t>**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 имеет оценок ниже 4 баллов по 10-балльной шкале (после пересдач);</w:t>
      </w:r>
    </w:p>
    <w:p>
      <w:pPr>
        <w:autoSpaceDN w:val="0"/>
        <w:autoSpaceDE w:val="0"/>
        <w:widowControl/>
        <w:spacing w:line="240" w:lineRule="auto" w:before="254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имеет не более 2 оценок 4 и/или 5 баллов по 10-балльной шкале. </w:t>
      </w:r>
    </w:p>
    <w:p>
      <w:pPr>
        <w:autoSpaceDN w:val="0"/>
        <w:autoSpaceDE w:val="0"/>
        <w:widowControl/>
        <w:spacing w:line="269" w:lineRule="auto" w:before="240" w:after="0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Подробнее об условиях предоставления скидок и их размерах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Положении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гражданам и лицам без гражданства, поступающим на обучение в НИУ ВШЭ (г.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Москва) в 2023 году по образовательным программам высшего образования в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рамках отдельного конкурса на места по договорам об оказании платных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10819"/>
      </w:tblGrid>
      <w:tr>
        <w:trPr>
          <w:trHeight w:hRule="exact" w:val="946"/>
        </w:trPr>
        <w:tc>
          <w:tcPr>
            <w:tcW w:type="dxa" w:w="9136"/>
            <w:tcBorders>
              <w:bottom w:sz="5.600000000000023" w:val="single" w:color="#DFE2E2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образовательных услуг за счет средств физических и (или) юридических лиц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02"/>
        </w:trPr>
        <w:tc>
          <w:tcPr>
            <w:tcW w:type="dxa" w:w="96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* Условие сохранения предоставленных скидок применяется к иностранным студентам,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02"/>
        </w:trPr>
        <w:tc>
          <w:tcPr>
            <w:tcW w:type="dxa" w:w="93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начиная со 2-го курса и до завершения обучения по образовательной программе.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02"/>
        </w:trPr>
        <w:tc>
          <w:tcPr>
            <w:tcW w:type="dxa" w:w="97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** Условия сохранения предоставленных скидок применяются к иностранным студентам,</w:t>
            </w:r>
          </w:p>
        </w:tc>
      </w:tr>
    </w:tbl>
    <w:p>
      <w:pPr>
        <w:autoSpaceDN w:val="0"/>
        <w:autoSpaceDE w:val="0"/>
        <w:widowControl/>
        <w:spacing w:line="240" w:lineRule="auto" w:before="48" w:after="56"/>
        <w:ind w:left="824" w:right="0" w:firstLine="0"/>
        <w:jc w:val="left"/>
      </w:pPr>
      <w:r>
        <w:rPr>
          <w:w w:val="98.52272380482067"/>
          <w:rFonts w:ascii="HSE Sans" w:hAnsi="HSE Sans" w:eastAsia="HSE Sans"/>
          <w:b w:val="0"/>
          <w:i w:val="0"/>
          <w:color w:val="808080"/>
          <w:sz w:val="22"/>
        </w:rPr>
        <w:t>начиная с первой промежуточной аттестации 2-го курса и до завершения обучения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08"/>
        </w:trPr>
        <w:tc>
          <w:tcPr>
            <w:tcW w:type="dxa" w:w="91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образовательной программе и не распространяются на дисциплины 1 курса.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02"/>
        </w:trPr>
        <w:tc>
          <w:tcPr>
            <w:tcW w:type="dxa" w:w="92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Иностранному гражданину может быть установлена только одна скидка из числа</w:t>
            </w:r>
          </w:p>
        </w:tc>
      </w:tr>
    </w:tbl>
    <w:p>
      <w:pPr>
        <w:autoSpaceDN w:val="0"/>
        <w:autoSpaceDE w:val="0"/>
        <w:widowControl/>
        <w:spacing w:line="240" w:lineRule="auto" w:before="48" w:after="50"/>
        <w:ind w:left="824" w:right="0" w:firstLine="0"/>
        <w:jc w:val="left"/>
      </w:pPr>
      <w:r>
        <w:rPr>
          <w:w w:val="98.52272380482067"/>
          <w:rFonts w:ascii="HSE Sans" w:hAnsi="HSE Sans" w:eastAsia="HSE Sans"/>
          <w:b w:val="0"/>
          <w:i w:val="0"/>
          <w:color w:val="808080"/>
          <w:sz w:val="22"/>
        </w:rPr>
        <w:t>указанных. При наличии у иностранного гражданина права на скидки нескольких видов из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5409"/>
        <w:gridCol w:w="5409"/>
      </w:tblGrid>
      <w:tr>
        <w:trPr>
          <w:trHeight w:hRule="exact" w:val="1210"/>
        </w:trPr>
        <w:tc>
          <w:tcPr>
            <w:tcW w:type="dxa" w:w="8312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56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 w:val="0"/>
                <w:i w:val="0"/>
                <w:color w:val="808080"/>
                <w:sz w:val="22"/>
              </w:rPr>
              <w:t>числа указанных ему предоставляется одна скидка по его выбору.</w:t>
            </w:r>
          </w:p>
        </w:tc>
        <w:tc>
          <w:tcPr>
            <w:tcW w:type="dxa" w:w="173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18"/>
        </w:trPr>
        <w:tc>
          <w:tcPr>
            <w:tcW w:type="dxa" w:w="8312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2" w:after="0"/>
              <w:ind w:left="232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>Скидки для</w:t>
            </w:r>
            <w:r>
              <w:rPr>
                <w:u w:val="single" w:color="0079c4"/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>иностранных студентов при поступлении на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образовательные программы баклавриата / специалитета </w:t>
            </w:r>
          </w:p>
        </w:tc>
        <w:tc>
          <w:tcPr>
            <w:tcW w:type="dxa" w:w="173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5981700</wp:posOffset>
                  </wp:positionH>
                  <wp:positionV relativeFrom="page">
                    <wp:posOffset>4572000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95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630"/>
              </w:trPr>
              <w:tc>
                <w:tcPr>
                  <w:tcW w:type="dxa" w:w="10200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2448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Скидки иностранным студентам при поступлении на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образовательные программы магистратуры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4724400</wp:posOffset>
                        </wp:positionH>
                        <wp:positionV relativeFrom="page">
                          <wp:posOffset>5801360</wp:posOffset>
                        </wp:positionV>
                        <wp:extent cx="190500" cy="190500"/>
                        <wp:wrapNone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2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16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 о предоставлении скидок по оплате обучения студентам, обучающимся по</w:t>
          </w:r>
        </w:hyperlink>
      </w:r>
    </w:p>
    <w:p>
      <w:pPr>
        <w:autoSpaceDN w:val="0"/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физических и (или) юридических лиц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(НИУ ВШЭ – Москва)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Порядок заключения, изменения и расторжения договоров об образовании (оказании</w:t>
          </w:r>
        </w:hyperlink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платных образовательных услуг) по образовательным программам высшего образования,</w:t>
          </w:r>
        </w:hyperlink>
      </w:r>
    </w:p>
    <w:p>
      <w:pPr>
        <w:autoSpaceDN w:val="0"/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реализуемым НИУ ВШЭ</w:t>
          </w:r>
        </w:hyperlink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 в</w:t>
          </w:r>
        </w:hyperlink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НИУ ВШЭ</w:t>
          </w:r>
        </w:hyperlink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физического и (или) юридического лица при реализации программ высшего образования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в НИУ ВШЭ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7038340</wp:posOffset>
            </wp:positionV>
            <wp:extent cx="6858000" cy="365442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4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254" w:after="0"/>
        <w:ind w:left="300" w:right="432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Положение о предоставлении скидок по оплате обучения иностранным гражданам и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лицам без гражданства, поступающим на обучение в НИУ ВШЭ (г. Москва) в 2023 году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 образовательным программам высшего образования в рамках отдельного конкурса на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места по договорам об оказании платных образовательных услуг за счет средств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физических и (или) юридических лиц</w:t>
          </w:r>
        </w:hyperlink>
      </w:r>
    </w:p>
    <w:p>
      <w:pPr>
        <w:autoSpaceDN w:val="0"/>
        <w:autoSpaceDE w:val="0"/>
        <w:widowControl/>
        <w:spacing w:line="266" w:lineRule="auto" w:before="256" w:after="0"/>
        <w:ind w:left="300" w:right="432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Положение о предоставлении скидок по оплате обучения иностранным гражданам и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лицам без гражданства, поступающим на обучение в НИУ ВШЭ (г. Москва) в 2024 году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 образовательным программам высшего образования в рамках отдельного конкурса на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места по договорам об оказании платных образовательных услуг за счет средств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физических и (или) юридических лиц (Москва)</w:t>
          </w:r>
        </w:hyperlink>
      </w:r>
    </w:p>
    <w:p>
      <w:pPr>
        <w:autoSpaceDN w:val="0"/>
        <w:autoSpaceDE w:val="0"/>
        <w:widowControl/>
        <w:spacing w:line="240" w:lineRule="auto" w:before="1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4216400</wp:posOffset>
            </wp:positionV>
            <wp:extent cx="495300" cy="241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4597400</wp:posOffset>
            </wp:positionV>
            <wp:extent cx="13335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5105400</wp:posOffset>
            </wp:positionV>
            <wp:extent cx="228600" cy="228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0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Единая платежная страница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-2656840</wp:posOffset>
            </wp:positionV>
            <wp:extent cx="6858000" cy="1917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685800</wp:posOffset>
            </wp:positionV>
            <wp:extent cx="838200" cy="76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48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у</w:t>
          </w:r>
        </w:hyperlink>
      </w:r>
    </w:p>
    <w:p>
      <w:pPr>
        <w:autoSpaceDN w:val="0"/>
        <w:autoSpaceDE w:val="0"/>
        <w:widowControl/>
        <w:spacing w:line="266" w:lineRule="auto" w:before="7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kidki_spb" TargetMode="External"/><Relationship Id="rId12" Type="http://schemas.openxmlformats.org/officeDocument/2006/relationships/hyperlink" Target="https://www.hse.ru/studyspravka/skidki_nn" TargetMode="External"/><Relationship Id="rId13" Type="http://schemas.openxmlformats.org/officeDocument/2006/relationships/hyperlink" Target="https://www.hse.ru/studyspravka/skidki_p" TargetMode="External"/><Relationship Id="rId14" Type="http://schemas.openxmlformats.org/officeDocument/2006/relationships/hyperlink" Target="https://www.hse.ru/studyspravka/Skidki#docs" TargetMode="External"/><Relationship Id="rId15" Type="http://schemas.openxmlformats.org/officeDocument/2006/relationships/hyperlink" Target="https://www.hse.ru/studyspravka/rate" TargetMode="External"/><Relationship Id="rId16" Type="http://schemas.openxmlformats.org/officeDocument/2006/relationships/hyperlink" Target="https://www.hse.ru/studyspravka/credit" TargetMode="External"/><Relationship Id="rId17" Type="http://schemas.openxmlformats.org/officeDocument/2006/relationships/hyperlink" Target="https://www.hse.ru/studyspravka/perbud" TargetMode="External"/><Relationship Id="rId18" Type="http://schemas.openxmlformats.org/officeDocument/2006/relationships/hyperlink" Target="https://www.hse.ru/studyspravka/fees" TargetMode="External"/><Relationship Id="rId19" Type="http://schemas.openxmlformats.org/officeDocument/2006/relationships/hyperlink" Target="https://www.hse.ru/docs/807180592.html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hyperlink" Target="https://admissions.hse.ru/mirror/pubs/share/808637711.pdf" TargetMode="External"/><Relationship Id="rId26" Type="http://schemas.openxmlformats.org/officeDocument/2006/relationships/hyperlink" Target="https://www.hse.ru/docs/828631726.html" TargetMode="External"/><Relationship Id="rId27" Type="http://schemas.openxmlformats.org/officeDocument/2006/relationships/hyperlink" Target="https://www.hse.ru/docs/239587632.html" TargetMode="External"/><Relationship Id="rId28" Type="http://schemas.openxmlformats.org/officeDocument/2006/relationships/hyperlink" Target="https://www.hse.ru/docs/941197025.html" TargetMode="External"/><Relationship Id="rId29" Type="http://schemas.openxmlformats.org/officeDocument/2006/relationships/hyperlink" Target="https://www.hse.ru/docs/873579054.html" TargetMode="External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hyperlink" Target="https://www.hse.ru/org/hse/info/" TargetMode="External"/><Relationship Id="rId34" Type="http://schemas.openxmlformats.org/officeDocument/2006/relationships/hyperlink" Target="https://figures.hse.ru/" TargetMode="External"/><Relationship Id="rId35" Type="http://schemas.openxmlformats.org/officeDocument/2006/relationships/hyperlink" Target="https://www.hse.ru/orgstructure/" TargetMode="External"/><Relationship Id="rId36" Type="http://schemas.openxmlformats.org/officeDocument/2006/relationships/hyperlink" Target="https://sustainability.hse.ru/" TargetMode="External"/><Relationship Id="rId37" Type="http://schemas.openxmlformats.org/officeDocument/2006/relationships/hyperlink" Target="https://www.hse.ru/org/persons/" TargetMode="External"/><Relationship Id="rId38" Type="http://schemas.openxmlformats.org/officeDocument/2006/relationships/hyperlink" Target="https://www.hse.ru/buildinghse" TargetMode="External"/><Relationship Id="rId39" Type="http://schemas.openxmlformats.org/officeDocument/2006/relationships/hyperlink" Target="https://www.hse.ru/org/hse/aup/procurement/" TargetMode="External"/><Relationship Id="rId40" Type="http://schemas.openxmlformats.org/officeDocument/2006/relationships/hyperlink" Target="https://www.hse.ru/appeal/" TargetMode="External"/><Relationship Id="rId41" Type="http://schemas.openxmlformats.org/officeDocument/2006/relationships/hyperlink" Target="https://endowment.hse.ru/" TargetMode="External"/><Relationship Id="rId42" Type="http://schemas.openxmlformats.org/officeDocument/2006/relationships/hyperlink" Target="https://www.hse.ru/anticorruption" TargetMode="External"/><Relationship Id="rId43" Type="http://schemas.openxmlformats.org/officeDocument/2006/relationships/hyperlink" Target="https://www.hse.ru/anticorruption/information" TargetMode="External"/><Relationship Id="rId44" Type="http://schemas.openxmlformats.org/officeDocument/2006/relationships/hyperlink" Target="https://www.hse.ru/sveden/" TargetMode="External"/><Relationship Id="rId45" Type="http://schemas.openxmlformats.org/officeDocument/2006/relationships/hyperlink" Target="https://inclusive.hse.ru/" TargetMode="External"/><Relationship Id="rId46" Type="http://schemas.openxmlformats.org/officeDocument/2006/relationships/hyperlink" Target="https://pay.hse.ru/" TargetMode="External"/><Relationship Id="rId47" Type="http://schemas.openxmlformats.org/officeDocument/2006/relationships/image" Target="media/image9.png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adm/edit/edit.html?goto=%2AL3N0dWR5c3ByYXZrYS9Ta2lka2k%2FX3I9Mjc5ODAxNjE3NzQ3MDA0MjIuMDIyOQ%3D%3D%5E&amp;id=132155014&amp;cid=20594&amp;addon_name=default&amp;newportal=1" TargetMode="External"/><Relationship Id="rId50" Type="http://schemas.openxmlformats.org/officeDocument/2006/relationships/hyperlink" Target="https://www.hse.ru/contacts.html" TargetMode="External"/><Relationship Id="rId51" Type="http://schemas.openxmlformats.org/officeDocument/2006/relationships/hyperlink" Target="https://www.hse.ru/copyright" TargetMode="External"/><Relationship Id="rId52" Type="http://schemas.openxmlformats.org/officeDocument/2006/relationships/hyperlink" Target="https://www.hse.ru/data_protection_regulation" TargetMode="External"/><Relationship Id="rId53" Type="http://schemas.openxmlformats.org/officeDocument/2006/relationships/hyperlink" Target="https://www.hse.ru/sitemap.html" TargetMode="External"/><Relationship Id="rId54" Type="http://schemas.openxmlformats.org/officeDocument/2006/relationships/hyperlink" Target="https://design.hse.ru/" TargetMode="External"/><Relationship Id="rId55" Type="http://schemas.openxmlformats.org/officeDocument/2006/relationships/image" Target="media/image10.png"/><Relationship Id="rId5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