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3503929</wp:posOffset>
            </wp:positionV>
            <wp:extent cx="6477000" cy="229123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912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6069330</wp:posOffset>
            </wp:positionV>
            <wp:extent cx="6477000" cy="229933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9933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231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16" w:after="542"/>
        <w:ind w:left="300" w:right="72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Перевод с платного обучения на бесплатное НИУ ВШЭ-</w:t>
      </w:r>
      <w:r>
        <w:rPr>
          <w:rFonts w:ascii="HSE Sans" w:hAnsi="HSE Sans" w:eastAsia="HSE Sans"/>
          <w:b/>
          <w:i w:val="0"/>
          <w:color w:val="000000"/>
          <w:sz w:val="38"/>
        </w:rPr>
        <w:t>Москва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606"/>
        <w:gridCol w:w="3606"/>
        <w:gridCol w:w="3606"/>
      </w:tblGrid>
      <w:tr>
        <w:trPr>
          <w:trHeight w:hRule="exact" w:val="352"/>
        </w:trPr>
        <w:tc>
          <w:tcPr>
            <w:tcW w:type="dxa" w:w="2160"/>
            <w:tcBorders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160"/>
            </w:tblGrid>
            <w:tr>
              <w:trPr>
                <w:trHeight w:hRule="exact" w:val="324"/>
              </w:trPr>
              <w:tc>
                <w:tcPr>
                  <w:tcW w:type="dxa" w:w="2160"/>
                  <w:tcBorders/>
                  <w:shd w:fill="d34ea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НИУ ВШЭ-Москва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22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НИУ ВШЭ-Нижний Новгород</w:t>
                </w:r>
              </w:hyperlink>
            </w:r>
          </w:p>
        </w:tc>
        <w:tc>
          <w:tcPr>
            <w:tcW w:type="dxa" w:w="4020"/>
            <w:tcBorders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08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НИУ ВШЭ-Санкт-Петербург</w:t>
                </w:r>
              </w:hyperlink>
            </w:r>
          </w:p>
        </w:tc>
      </w:tr>
      <w:tr>
        <w:trPr>
          <w:trHeight w:hRule="exact" w:val="52"/>
        </w:trPr>
        <w:tc>
          <w:tcPr>
            <w:tcW w:type="dxa" w:w="2160"/>
            <w:tcBorders>
              <w:top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20"/>
            <w:tcBorders>
              <w:top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tcBorders>
              <w:top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936"/>
        </w:trPr>
        <w:tc>
          <w:tcPr>
            <w:tcW w:type="dxa" w:w="10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2" w:after="0"/>
              <w:ind w:left="30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FFFFFF"/>
                <w:sz w:val="31"/>
              </w:rPr>
              <w:t>Перевод по общим основаниям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102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Основная информация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73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Протоколы общеуниверситетской комиссии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Регламентирующие документы</w:t>
            </w:r>
          </w:p>
        </w:tc>
      </w:tr>
    </w:tbl>
    <w:p>
      <w:pPr>
        <w:autoSpaceDN w:val="0"/>
        <w:autoSpaceDE w:val="0"/>
        <w:widowControl/>
        <w:spacing w:line="19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1146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300" w:right="288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FFFFFF"/>
                <w:sz w:val="31"/>
              </w:rPr>
              <w:t>Перевод по льготным основаниям (участники СВО, их дети и близкие</w:t>
            </w:r>
            <w:r>
              <w:rPr>
                <w:w w:val="98.70967249716482"/>
                <w:rFonts w:ascii="HSE Sans" w:hAnsi="HSE Sans" w:eastAsia="HSE Sans"/>
                <w:b/>
                <w:i w:val="0"/>
                <w:color w:val="FFFFFF"/>
                <w:sz w:val="31"/>
              </w:rPr>
              <w:t>родственники)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102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Основная информация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62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Критерии перевода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Процедура перевода</w:t>
            </w:r>
          </w:p>
        </w:tc>
      </w:tr>
    </w:tbl>
    <w:p>
      <w:pPr>
        <w:autoSpaceDN w:val="0"/>
        <w:autoSpaceDE w:val="0"/>
        <w:widowControl/>
        <w:spacing w:line="240" w:lineRule="auto" w:before="1782" w:after="152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3"/>
        </w:rPr>
        <w:t>Перевод на бесплатное обучение по общим основаниям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5409"/>
        <w:gridCol w:w="5409"/>
      </w:tblGrid>
      <w:tr>
        <w:trPr>
          <w:trHeight w:hRule="exact" w:val="554"/>
        </w:trPr>
        <w:tc>
          <w:tcPr>
            <w:tcW w:type="dxa" w:w="10110"/>
            <w:vMerge w:val="restart"/>
            <w:tcBorders>
              <w:start w:sz="6.0" w:val="single" w:color="#EFEFEF"/>
              <w:top w:sz="6.0" w:val="single" w:color="#EFEFE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0" w:val="left"/>
                <w:tab w:pos="668" w:val="left"/>
                <w:tab w:pos="894" w:val="left"/>
                <w:tab w:pos="1028" w:val="left"/>
                <w:tab w:pos="1376" w:val="left"/>
              </w:tabs>
              <w:autoSpaceDE w:val="0"/>
              <w:widowControl/>
              <w:spacing w:line="245" w:lineRule="auto" w:before="6" w:after="0"/>
              <w:ind w:left="508" w:right="576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3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4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Основные крите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hyperlink r:id="rId14" w:history="1">
                <w:r>
                  <w:rPr>
                    <w:rStyle w:val="Hyperlink"/>
                  </w:rPr>
                  <w:t>ри</w:t>
                </w:r>
              </w:hyperlink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и перехода на бюджет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</w:tc>
        <w:tc>
          <w:tcPr>
            <w:tcW w:type="dxa" w:w="368"/>
            <w:tcBorders>
              <w:top w:sz="6.0" w:val="single" w:color="#EFEFEF"/>
              <w:bottom w:sz="6.399999999999636" w:val="single" w:color="#0079C4"/>
            </w:tcBorders>
            <w:shd w:fill="00009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96"/>
        </w:trPr>
        <w:tc>
          <w:tcPr>
            <w:tcW w:type="dxa" w:w="5409"/>
            <w:vMerge/>
            <w:tcBorders>
              <w:start w:sz="6.0" w:val="single" w:color="#EFEFEF"/>
              <w:top w:sz="6.0" w:val="single" w:color="#EFEFEF"/>
            </w:tcBorders>
          </w:tcPr>
          <w:p/>
        </w:tc>
        <w:tc>
          <w:tcPr>
            <w:tcW w:type="dxa" w:w="368"/>
            <w:tcBorders>
              <w:top w:sz="6.399999999999636" w:val="single" w:color="#0079C4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  <w:tr>
        <w:trPr>
          <w:trHeight w:hRule="exact" w:val="430"/>
        </w:trPr>
        <w:tc>
          <w:tcPr>
            <w:tcW w:type="dxa" w:w="10110"/>
            <w:tcBorders>
              <w:start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8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100"/>
        </w:trPr>
        <w:tc>
          <w:tcPr>
            <w:tcW w:type="dxa" w:w="10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4" w:after="0"/>
              <w:ind w:left="8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Порядок и критерии перевода студента с платного обучения на бесплатное</w:t>
            </w:r>
          </w:p>
        </w:tc>
      </w:tr>
    </w:tbl>
    <w:p>
      <w:pPr>
        <w:autoSpaceDN w:val="0"/>
        <w:autoSpaceDE w:val="0"/>
        <w:widowControl/>
        <w:spacing w:line="271" w:lineRule="auto" w:before="30" w:after="0"/>
        <w:ind w:left="824" w:right="864" w:firstLine="0"/>
        <w:jc w:val="left"/>
      </w:pP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установлены приказом Минобрнауки РФ от 28.08.2023 № 822 «</w:t>
      </w:r>
      <w:r>
        <w:rPr>
          <w:u w:val="single" w:color="0079c4"/>
          <w:shd w:val="clear" w:color="auto" w:fill="000095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Об утверждении</w:t>
          </w:r>
        </w:hyperlink>
      </w:r>
      <w:r>
        <w:rPr>
          <w:u w:val="single" w:color="0079c4"/>
          <w:shd w:val="clear" w:color="auto" w:fill="000095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порядка и случаев перехода лиц, обучающихся по образовательным программам</w:t>
          </w:r>
        </w:hyperlink>
      </w:r>
      <w:r>
        <w:rPr>
          <w:u w:val="single" w:color="0079c4"/>
          <w:shd w:val="clear" w:color="auto" w:fill="000095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среднего профессионального и высшего образования, с платного обучения на</w:t>
          </w:r>
        </w:hyperlink>
      </w:r>
      <w:r>
        <w:rPr>
          <w:u w:val="single" w:color="0079c4"/>
          <w:shd w:val="clear" w:color="auto" w:fill="000095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обучение за счет средств бюджетных ассигнований федерального бюджета,</w:t>
          </w:r>
        </w:hyperlink>
      </w:r>
      <w:r>
        <w:rPr>
          <w:shd w:val="clear" w:color="auto" w:fill="000095"/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бюджетов субъектов Российской Федерации и местных бюджетов либо за счет</w:t>
          </w:r>
        </w:hyperlink>
      </w:r>
      <w:r>
        <w:rPr>
          <w:u w:val="single" w:color="0079c4"/>
          <w:shd w:val="clear" w:color="auto" w:fill="000095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собственных средств организации, осуществляющей образовательную</w:t>
          </w:r>
        </w:hyperlink>
      </w:r>
      <w:r>
        <w:br/>
      </w:r>
      <w:r>
        <w:rPr>
          <w:u w:val="single" w:color="0079c4"/>
          <w:shd w:val="clear" w:color="auto" w:fill="000095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деятельность, в том числе средств, полученных от приносящей доход</w:t>
          </w:r>
        </w:hyperlink>
      </w:r>
      <w:r>
        <w:br/>
      </w:r>
      <w:r>
        <w:rPr>
          <w:shd w:val="clear" w:color="auto" w:fill="000095"/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деятельности, добровольных пожертвований и целевых взносов физических и</w:t>
          </w:r>
        </w:hyperlink>
      </w:r>
      <w:r>
        <w:rPr>
          <w:shd w:val="clear" w:color="auto" w:fill="000095"/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(или) юридических лиц</w:t>
          </w:r>
        </w:hyperlink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»</w:t>
      </w:r>
    </w:p>
    <w:p>
      <w:pPr>
        <w:autoSpaceDN w:val="0"/>
        <w:autoSpaceDE w:val="0"/>
        <w:widowControl/>
        <w:spacing w:line="264" w:lineRule="auto" w:before="256" w:after="0"/>
        <w:ind w:left="824" w:right="172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 соответствии с Порядком студент может претендовать на переход на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бесплатное обучение (при наличии вакантного бюджетного места на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образовательной программе) при соблюдении условий:</w:t>
      </w:r>
    </w:p>
    <w:p>
      <w:pPr>
        <w:autoSpaceDN w:val="0"/>
        <w:autoSpaceDE w:val="0"/>
        <w:widowControl/>
        <w:spacing w:line="240" w:lineRule="auto" w:before="254" w:after="0"/>
        <w:ind w:left="1412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1. 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На момент подачи заявления не имеет:</w:t>
      </w:r>
    </w:p>
    <w:p>
      <w:pPr>
        <w:autoSpaceDN w:val="0"/>
        <w:autoSpaceDE w:val="0"/>
        <w:widowControl/>
        <w:spacing w:line="262" w:lineRule="auto" w:before="254" w:after="0"/>
        <w:ind w:left="1424" w:right="172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академических задолженностей и не обучается в связи с этим по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индивидуальному учебному плану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специального типа с повторным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изучением ряда дисциплин,</w:t>
      </w:r>
    </w:p>
    <w:p>
      <w:pPr>
        <w:autoSpaceDN w:val="0"/>
        <w:autoSpaceDE w:val="0"/>
        <w:widowControl/>
        <w:spacing w:line="240" w:lineRule="auto" w:before="254" w:after="0"/>
        <w:ind w:left="14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дисциплинарных взысканий,</w:t>
      </w:r>
    </w:p>
    <w:p>
      <w:pPr>
        <w:autoSpaceDN w:val="0"/>
        <w:autoSpaceDE w:val="0"/>
        <w:widowControl/>
        <w:spacing w:line="240" w:lineRule="auto" w:before="240" w:after="0"/>
        <w:ind w:left="14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задолженности по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оплате обучения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56" w:after="0"/>
        <w:ind w:left="108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2.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 xml:space="preserve"> И соответствует одному из следующих условий:</w:t>
      </w:r>
    </w:p>
    <w:p>
      <w:pPr>
        <w:autoSpaceDN w:val="0"/>
        <w:tabs>
          <w:tab w:pos="1808" w:val="left"/>
          <w:tab w:pos="5730" w:val="left"/>
        </w:tabs>
        <w:autoSpaceDE w:val="0"/>
        <w:widowControl/>
        <w:spacing w:line="286" w:lineRule="auto" w:before="190" w:after="0"/>
        <w:ind w:left="8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а) Сдача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экзаменов за последний семестр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обучения, </w:t>
      </w:r>
      <w:r>
        <w:rPr>
          <w:w w:val="98.52272380482067"/>
          <w:rFonts w:ascii="HSE Sans" w:hAnsi="HSE Sans" w:eastAsia="HSE Sans"/>
          <w:b w:val="0"/>
          <w:i w:val="0"/>
          <w:color w:val="000000"/>
          <w:sz w:val="22"/>
        </w:rPr>
        <w:t xml:space="preserve">* </w:t>
      </w:r>
      <w:r>
        <w:tab/>
      </w:r>
      <w:r>
        <w:rPr>
          <w:w w:val="98.52272380482067"/>
          <w:rFonts w:ascii="HSE Sans" w:hAnsi="HSE Sans" w:eastAsia="HSE Sans"/>
          <w:b w:val="0"/>
          <w:i w:val="0"/>
          <w:color w:val="000000"/>
          <w:sz w:val="22"/>
        </w:rPr>
        <w:t>**</w:t>
      </w:r>
    </w:p>
    <w:p>
      <w:pPr>
        <w:autoSpaceDN w:val="0"/>
        <w:autoSpaceDE w:val="0"/>
        <w:widowControl/>
        <w:spacing w:line="254" w:lineRule="auto" w:before="46" w:after="0"/>
        <w:ind w:left="824" w:right="144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предшествующий подаче заявления, на оценки «отлично» или «отлично» 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«хорошо» или «хорошо»;</w:t>
      </w:r>
    </w:p>
    <w:p>
      <w:pPr>
        <w:autoSpaceDN w:val="0"/>
        <w:autoSpaceDE w:val="0"/>
        <w:widowControl/>
        <w:spacing w:line="240" w:lineRule="auto" w:before="256" w:after="0"/>
        <w:ind w:left="8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б) Отнесение к следующему числу лиц:</w:t>
      </w:r>
    </w:p>
    <w:p>
      <w:pPr>
        <w:autoSpaceDN w:val="0"/>
        <w:autoSpaceDE w:val="0"/>
        <w:widowControl/>
        <w:spacing w:line="254" w:lineRule="auto" w:before="256" w:after="0"/>
        <w:ind w:left="1424" w:right="115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детей-сирот, оставшихся без попечения родителей, а также лицам из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числа детей-сирот и детей, оставшихся без попечения родителей;</w:t>
      </w:r>
    </w:p>
    <w:p>
      <w:pPr>
        <w:autoSpaceDN w:val="0"/>
        <w:autoSpaceDE w:val="0"/>
        <w:widowControl/>
        <w:spacing w:line="266" w:lineRule="auto" w:before="256" w:after="180"/>
        <w:ind w:left="1424" w:right="100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граждан в возрасте до двадцати лет, имеющих только одного родителя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— инвалида I группы, если среднедушевой доход семьи ниже величины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прожиточного минимума, установленного в соответствующем субъекте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Российской Федерации;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560"/>
        </w:trPr>
        <w:tc>
          <w:tcPr>
            <w:tcW w:type="dxa" w:w="10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женщин, родивших ребенка в период обучения; </w:t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14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детей лиц, принимающих или принимавших участие в специальной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724" w:after="0"/>
        <w:ind w:left="1424" w:right="1296" w:firstLine="0"/>
        <w:jc w:val="left"/>
      </w:pP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военной операции на территориях Украины, Донецкой Народной</w:t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Республики, Луганской Народной Республики, Запорожской области и</w:t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Херсонской области (далее - специальная военная операция).</w:t>
      </w:r>
    </w:p>
    <w:p>
      <w:pPr>
        <w:autoSpaceDN w:val="0"/>
        <w:autoSpaceDE w:val="0"/>
        <w:widowControl/>
        <w:spacing w:line="240" w:lineRule="auto" w:before="256" w:after="22"/>
        <w:ind w:left="8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в) Утрата в период обучения одного или обоих родителей (законных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628"/>
        </w:trPr>
        <w:tc>
          <w:tcPr>
            <w:tcW w:type="dxa" w:w="10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24" w:after="0"/>
              <w:ind w:left="824" w:right="144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представителей) или единственного родителя (законного представителя);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г) Статус участника специальной военной операции (СВО) </w:t>
            </w:r>
            <w:r>
              <w:rPr>
                <w:w w:val="98.52272380482067"/>
                <w:rFonts w:ascii="HSE Sans" w:hAnsi="HSE Sans" w:eastAsia="HSE Sans"/>
                <w:b w:val="0"/>
                <w:i w:val="0"/>
                <w:color w:val="000000"/>
                <w:sz w:val="22"/>
              </w:rPr>
              <w:t xml:space="preserve">***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;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д) Статус иных близких родственников  участника СВО</w:t>
            </w:r>
            <w:r>
              <w:rPr>
                <w:w w:val="98.52272380482067"/>
                <w:rFonts w:ascii="HSE Sans" w:hAnsi="HSE Sans" w:eastAsia="HSE Sans"/>
                <w:b w:val="0"/>
                <w:i w:val="0"/>
                <w:color w:val="000000"/>
                <w:sz w:val="22"/>
              </w:rPr>
              <w:t xml:space="preserve">***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264" w:lineRule="auto" w:before="196" w:after="0"/>
        <w:ind w:left="824" w:right="864" w:firstLine="128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3.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 xml:space="preserve"> Отнесение к следующим категориям граждан (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 условии их обучения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(впервые) в НИУ ВШЭ по программам высшего образования на платных местах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до их призыва на военную службу по мобилизации):</w:t>
      </w:r>
    </w:p>
    <w:p>
      <w:pPr>
        <w:autoSpaceDN w:val="0"/>
        <w:autoSpaceDE w:val="0"/>
        <w:widowControl/>
        <w:spacing w:line="266" w:lineRule="auto" w:before="254" w:after="0"/>
        <w:ind w:left="1424" w:right="115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признанные гражданами Российской Федерации в соответствии с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частью 1 статьи 5 федеральных конституционных законов о принятии в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состав Российской Федерации Донецкой Народной Республики,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Луганской Народной Республики, Запорожской и Херсонской областей; </w:t>
      </w:r>
    </w:p>
    <w:p>
      <w:pPr>
        <w:autoSpaceDN w:val="0"/>
        <w:autoSpaceDE w:val="0"/>
        <w:widowControl/>
        <w:spacing w:line="257" w:lineRule="auto" w:before="240" w:after="22"/>
        <w:ind w:left="1424" w:right="129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лица, постоянно проживавшие на территориях Донецкой Народной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Республики, Луганской Народной Республики на день их принятия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4.0" w:type="dxa"/>
      </w:tblPr>
      <w:tblGrid>
        <w:gridCol w:w="10819"/>
      </w:tblGrid>
      <w:tr>
        <w:trPr>
          <w:trHeight w:hRule="exact" w:val="596"/>
        </w:trPr>
        <w:tc>
          <w:tcPr>
            <w:tcW w:type="dxa" w:w="9136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600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Российскую Федерацию гражданами Российской Федерации.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819"/>
      </w:tblGrid>
      <w:tr>
        <w:trPr>
          <w:trHeight w:hRule="exact" w:val="342"/>
        </w:trPr>
        <w:tc>
          <w:tcPr>
            <w:tcW w:type="dxa" w:w="9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HSE Sans" w:hAnsi="HSE Sans" w:eastAsia="HSE Sans"/>
                <w:b w:val="0"/>
                <w:i w:val="0"/>
                <w:color w:val="000000"/>
                <w:sz w:val="16"/>
              </w:rPr>
              <w:t>* Сдача — первая сдача экзамена по дисциплине / пересдача по уважительной причине (т.е. первая сдача после неявки на</w:t>
            </w:r>
          </w:p>
        </w:tc>
      </w:tr>
    </w:tbl>
    <w:p>
      <w:pPr>
        <w:autoSpaceDN w:val="0"/>
        <w:autoSpaceDE w:val="0"/>
        <w:widowControl/>
        <w:spacing w:line="240" w:lineRule="auto" w:before="108" w:after="0"/>
        <w:ind w:left="824" w:right="0" w:firstLine="0"/>
        <w:jc w:val="left"/>
      </w:pPr>
      <w:r>
        <w:rPr>
          <w:w w:val="103.125"/>
          <w:rFonts w:ascii="HSE Sans" w:hAnsi="HSE Sans" w:eastAsia="HSE Sans"/>
          <w:b w:val="0"/>
          <w:i w:val="0"/>
          <w:color w:val="000000"/>
          <w:sz w:val="16"/>
        </w:rPr>
        <w:t xml:space="preserve">экзамен по уважительной причине). </w:t>
      </w:r>
    </w:p>
    <w:p>
      <w:pPr>
        <w:autoSpaceDN w:val="0"/>
        <w:autoSpaceDE w:val="0"/>
        <w:widowControl/>
        <w:spacing w:line="240" w:lineRule="auto" w:before="378" w:after="0"/>
        <w:ind w:left="824" w:right="0" w:firstLine="0"/>
        <w:jc w:val="left"/>
      </w:pPr>
      <w:r>
        <w:rPr>
          <w:w w:val="103.125"/>
          <w:rFonts w:ascii="HSE Sans" w:hAnsi="HSE Sans" w:eastAsia="HSE Sans"/>
          <w:b w:val="0"/>
          <w:i w:val="0"/>
          <w:color w:val="000000"/>
          <w:sz w:val="16"/>
        </w:rPr>
        <w:t>** Последний семестр — предшетствующие подаче заявки два модуля. Например: если Вы подаете заявку в летнюю</w:t>
      </w:r>
    </w:p>
    <w:p>
      <w:pPr>
        <w:autoSpaceDN w:val="0"/>
        <w:autoSpaceDE w:val="0"/>
        <w:widowControl/>
        <w:spacing w:line="240" w:lineRule="auto" w:before="168" w:after="0"/>
        <w:ind w:left="824" w:right="0" w:firstLine="0"/>
        <w:jc w:val="left"/>
      </w:pPr>
      <w:r>
        <w:rPr>
          <w:w w:val="103.125"/>
          <w:rFonts w:ascii="HSE Sans" w:hAnsi="HSE Sans" w:eastAsia="HSE Sans"/>
          <w:b w:val="0"/>
          <w:i w:val="0"/>
          <w:color w:val="000000"/>
          <w:sz w:val="16"/>
        </w:rPr>
        <w:t>кампанию в июле, то у Вас должны быть результаты за 3-4 модули текущего учебного года. Если Вы подаете заявку в зимнюю</w:t>
      </w:r>
    </w:p>
    <w:p>
      <w:pPr>
        <w:autoSpaceDN w:val="0"/>
        <w:autoSpaceDE w:val="0"/>
        <w:widowControl/>
        <w:spacing w:line="240" w:lineRule="auto" w:before="168" w:after="0"/>
        <w:ind w:left="824" w:right="0" w:firstLine="0"/>
        <w:jc w:val="left"/>
      </w:pPr>
      <w:r>
        <w:rPr>
          <w:w w:val="103.125"/>
          <w:rFonts w:ascii="HSE Sans" w:hAnsi="HSE Sans" w:eastAsia="HSE Sans"/>
          <w:b w:val="0"/>
          <w:i w:val="0"/>
          <w:color w:val="000000"/>
          <w:sz w:val="16"/>
        </w:rPr>
        <w:t xml:space="preserve">кампанию в январе, то у Вас должны быть результаты за 1-2 модули текущего учебного года. </w:t>
      </w:r>
    </w:p>
    <w:p>
      <w:pPr>
        <w:autoSpaceDN w:val="0"/>
        <w:autoSpaceDE w:val="0"/>
        <w:widowControl/>
        <w:spacing w:line="240" w:lineRule="auto" w:before="378" w:after="0"/>
        <w:ind w:left="824" w:right="0" w:firstLine="0"/>
        <w:jc w:val="left"/>
      </w:pPr>
      <w:r>
        <w:rPr>
          <w:w w:val="103.125"/>
          <w:rFonts w:ascii="HSE Sans" w:hAnsi="HSE Sans" w:eastAsia="HSE Sans"/>
          <w:b w:val="0"/>
          <w:i w:val="0"/>
          <w:color w:val="000000"/>
          <w:sz w:val="16"/>
        </w:rPr>
        <w:t>*** Иными близкими родственниками участника СВО признаются супруг (супруга) участника специальной военной</w:t>
      </w:r>
    </w:p>
    <w:p>
      <w:pPr>
        <w:autoSpaceDN w:val="0"/>
        <w:autoSpaceDE w:val="0"/>
        <w:widowControl/>
        <w:spacing w:line="240" w:lineRule="auto" w:before="182" w:after="0"/>
        <w:ind w:left="824" w:right="0" w:firstLine="0"/>
        <w:jc w:val="left"/>
      </w:pPr>
      <w:r>
        <w:rPr>
          <w:w w:val="103.125"/>
          <w:rFonts w:ascii="HSE Sans" w:hAnsi="HSE Sans" w:eastAsia="HSE Sans"/>
          <w:b w:val="0"/>
          <w:i w:val="0"/>
          <w:color w:val="000000"/>
          <w:sz w:val="16"/>
        </w:rPr>
        <w:t>операции, родители (усыновители), полнородные и неполнородные братья и сестры, представившие документ (-ы),</w:t>
      </w:r>
    </w:p>
    <w:p>
      <w:pPr>
        <w:autoSpaceDN w:val="0"/>
        <w:autoSpaceDE w:val="0"/>
        <w:widowControl/>
        <w:spacing w:line="240" w:lineRule="auto" w:before="166" w:after="0"/>
        <w:ind w:left="824" w:right="0" w:firstLine="0"/>
        <w:jc w:val="left"/>
      </w:pPr>
      <w:r>
        <w:rPr>
          <w:w w:val="103.125"/>
          <w:rFonts w:ascii="HSE Sans" w:hAnsi="HSE Sans" w:eastAsia="HSE Sans"/>
          <w:b w:val="0"/>
          <w:i w:val="0"/>
          <w:color w:val="000000"/>
          <w:sz w:val="16"/>
        </w:rPr>
        <w:t>подтверждающий (-е)  факт заключения брака, родства или усыновления, и справку, выданную члену семьи участника СВО</w:t>
      </w:r>
    </w:p>
    <w:p>
      <w:pPr>
        <w:autoSpaceDN w:val="0"/>
        <w:autoSpaceDE w:val="0"/>
        <w:widowControl/>
        <w:spacing w:line="240" w:lineRule="auto" w:before="166" w:after="122"/>
        <w:ind w:left="824" w:right="0" w:firstLine="0"/>
        <w:jc w:val="left"/>
      </w:pPr>
      <w:r>
        <w:rPr>
          <w:w w:val="103.125"/>
          <w:rFonts w:ascii="HSE Sans" w:hAnsi="HSE Sans" w:eastAsia="HSE Sans"/>
          <w:b w:val="0"/>
          <w:i w:val="0"/>
          <w:color w:val="000000"/>
          <w:sz w:val="16"/>
        </w:rPr>
        <w:t xml:space="preserve">по форме, установленной Правительством Российской Федерации. </w:t>
      </w:r>
      <w:r>
        <w:rPr>
          <w:w w:val="103.125"/>
          <w:rFonts w:ascii="HSE Sans" w:hAnsi="HSE Sans" w:eastAsia="HSE Sans"/>
          <w:b/>
          <w:i w:val="0"/>
          <w:color w:val="000000"/>
          <w:sz w:val="16"/>
        </w:rPr>
        <w:t>Документы, подтверждающие участие в СВО и/или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54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6" w:right="0" w:firstLine="0"/>
              <w:jc w:val="left"/>
            </w:pPr>
            <w:r>
              <w:rPr>
                <w:w w:val="103.125"/>
                <w:rFonts w:ascii="HSE Sans" w:hAnsi="HSE Sans" w:eastAsia="HSE Sans"/>
                <w:b/>
                <w:i w:val="0"/>
                <w:color w:val="000000"/>
                <w:sz w:val="16"/>
              </w:rPr>
              <w:t>родство с участником СВО должны быть приложены к заявке в LMS.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10819"/>
      </w:tblGrid>
      <w:tr>
        <w:trPr>
          <w:trHeight w:hRule="exact" w:val="60"/>
        </w:trPr>
        <w:tc>
          <w:tcPr>
            <w:tcW w:type="dxa" w:w="1011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96"/>
        </w:trPr>
        <w:tc>
          <w:tcPr>
            <w:tcW w:type="dxa" w:w="10110"/>
            <w:tcBorders>
              <w:start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4" w:after="0"/>
              <w:ind w:left="50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Когда студенты 1 курса могут подать заявку по</w:t>
            </w:r>
          </w:p>
        </w:tc>
      </w:tr>
      <w:tr>
        <w:trPr>
          <w:trHeight w:hRule="exact" w:val="594"/>
        </w:trPr>
        <w:tc>
          <w:tcPr>
            <w:tcW w:type="dxa" w:w="10110"/>
            <w:tcBorders>
              <w:start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070"/>
        </w:trPr>
        <w:tc>
          <w:tcPr>
            <w:tcW w:type="dxa" w:w="1078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0" w:after="0"/>
              <w:ind w:left="824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основанию успеваемости?</w:t>
            </w:r>
          </w:p>
        </w:tc>
      </w:tr>
    </w:tbl>
    <w:p>
      <w:pPr>
        <w:autoSpaceDN w:val="0"/>
        <w:autoSpaceDE w:val="0"/>
        <w:widowControl/>
        <w:spacing w:line="262" w:lineRule="auto" w:before="128" w:after="22"/>
        <w:ind w:left="720" w:right="864" w:firstLine="0"/>
        <w:jc w:val="center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Студенты 1 года обучения могут подать заявку на перевод на бюджетное место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не раньше зимней кампании, так как для подачи заявки у студентов должны быть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22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результаты за семестр.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266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6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Важно</w:t>
            </w:r>
          </w:p>
        </w:tc>
      </w:tr>
    </w:tbl>
    <w:p>
      <w:pPr>
        <w:autoSpaceDN w:val="0"/>
        <w:autoSpaceDE w:val="0"/>
        <w:widowControl/>
        <w:spacing w:line="266" w:lineRule="auto" w:before="134" w:after="0"/>
        <w:ind w:left="824" w:right="100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Особенности порядка перехода на бесплатное обучение студентов НИУ ВШЭ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установлены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Регламентом организации перехода студентов Национального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исследовательского университета «Высшая школа экономики» с платного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обучения на бесплатное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(Москва), и отдельные документы — для филиалов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НИУ ВШЭ.</w:t>
      </w:r>
    </w:p>
    <w:p>
      <w:pPr>
        <w:autoSpaceDN w:val="0"/>
        <w:autoSpaceDE w:val="0"/>
        <w:widowControl/>
        <w:spacing w:line="269" w:lineRule="auto" w:before="254" w:after="22"/>
        <w:ind w:left="824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На портале НИУ ВШЭ на страницах образовательных программ (раздел "Число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студентов и вакантные места") размещается информация о количестве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вакантных бюджетных мест (при наличии) и сроках подачи заявлений на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переход с платного обучения на бесплатное. Информация размещается в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установленные Регламентом сроки после окончания сессий 2 и 4 модулей 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периодов пересдач для каждого курса образовательной программы, не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20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являющейся полностью платной.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730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6" w:right="432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Как влияет гражданство на возможность перехода на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бесплатное обучение?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434"/>
        </w:trPr>
        <w:tc>
          <w:tcPr>
            <w:tcW w:type="dxa" w:w="1078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Право на переход с платного обучения на бесплатное имеют студенты НИУ</w:t>
            </w:r>
          </w:p>
        </w:tc>
      </w:tr>
    </w:tbl>
    <w:p>
      <w:pPr>
        <w:autoSpaceDN w:val="0"/>
        <w:autoSpaceDE w:val="0"/>
        <w:widowControl/>
        <w:spacing w:line="262" w:lineRule="auto" w:before="30" w:after="30"/>
        <w:ind w:left="824" w:right="100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ВШЭ-граждане Российской Федерации, а также иностранные граждане и лица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без гражданства, которые в соответствии с законодательством Российской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Федерации вправе обучаться за счет бюджетных ассигнований федерального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819"/>
      </w:tblGrid>
      <w:tr>
        <w:trPr>
          <w:trHeight w:hRule="exact" w:val="434"/>
        </w:trPr>
        <w:tc>
          <w:tcPr>
            <w:tcW w:type="dxa" w:w="98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4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бюджета, бюджетов субъектов Российской Федерации и местных бюджетов. </w:t>
            </w:r>
          </w:p>
        </w:tc>
      </w:tr>
    </w:tbl>
    <w:p>
      <w:pPr>
        <w:autoSpaceDN w:val="0"/>
        <w:autoSpaceDE w:val="0"/>
        <w:widowControl/>
        <w:spacing w:line="4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819"/>
      </w:tblGrid>
      <w:tr>
        <w:trPr>
          <w:trHeight w:hRule="exact" w:val="386"/>
        </w:trPr>
        <w:tc>
          <w:tcPr>
            <w:tcW w:type="dxa" w:w="9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1.14285605294364"/>
                <w:rFonts w:ascii="HSE Sans" w:hAnsi="HSE Sans" w:eastAsia="HSE Sans"/>
                <w:b w:val="0"/>
                <w:i w:val="0"/>
                <w:color w:val="FF0000"/>
                <w:sz w:val="21"/>
              </w:rPr>
              <w:t>Внимание: Иностранный студент, обучающийся по квоте, не может претендовать на переход на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952"/>
        </w:trPr>
        <w:tc>
          <w:tcPr>
            <w:tcW w:type="dxa" w:w="1078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12" w:after="0"/>
              <w:ind w:left="824" w:right="0" w:firstLine="0"/>
              <w:jc w:val="left"/>
            </w:pPr>
            <w:r>
              <w:rPr>
                <w:w w:val="101.14285605294364"/>
                <w:rFonts w:ascii="HSE Sans" w:hAnsi="HSE Sans" w:eastAsia="HSE Sans"/>
                <w:b w:val="0"/>
                <w:i w:val="0"/>
                <w:color w:val="FF0000"/>
                <w:sz w:val="21"/>
              </w:rPr>
              <w:t>вакантное бюджетное место. Также иностранный студент, обучающийся на коммерческой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060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56" w:right="0" w:firstLine="0"/>
              <w:jc w:val="left"/>
            </w:pPr>
            <w:r>
              <w:rPr>
                <w:w w:val="101.14285605294364"/>
                <w:rFonts w:ascii="HSE Sans" w:hAnsi="HSE Sans" w:eastAsia="HSE Sans"/>
                <w:b w:val="0"/>
                <w:i w:val="0"/>
                <w:color w:val="FF0000"/>
                <w:sz w:val="21"/>
              </w:rPr>
              <w:t>основе, не может претендовать на переход на освободившееся квотное место.</w:t>
            </w:r>
          </w:p>
        </w:tc>
      </w:tr>
    </w:tbl>
    <w:p>
      <w:pPr>
        <w:autoSpaceDN w:val="0"/>
        <w:autoSpaceDE w:val="0"/>
        <w:widowControl/>
        <w:spacing w:line="6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2334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8" w:after="0"/>
              <w:ind w:left="232" w:right="288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7AC5"/>
                <w:sz w:val="31"/>
              </w:rPr>
              <w:t>Иностранные граждане и лица без гражданства, имеющие право на</w:t>
            </w:r>
            <w:r>
              <w:rPr>
                <w:rFonts w:ascii="HSE Sans" w:hAnsi="HSE Sans" w:eastAsia="HSE Sans"/>
                <w:b/>
                <w:i w:val="0"/>
                <w:color w:val="007AC5"/>
                <w:sz w:val="31"/>
              </w:rPr>
              <w:t xml:space="preserve">перевод с платного обучения на бесплатное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4810760</wp:posOffset>
                  </wp:positionH>
                  <wp:positionV relativeFrom="page">
                    <wp:posOffset>2381250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2396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76" w:after="0"/>
              <w:ind w:left="524" w:right="576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Как определяется количество вакантных бюджетных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мест для перехода?</w:t>
            </w:r>
          </w:p>
        </w:tc>
      </w:tr>
    </w:tbl>
    <w:p>
      <w:pPr>
        <w:autoSpaceDN w:val="0"/>
        <w:autoSpaceDE w:val="0"/>
        <w:widowControl/>
        <w:spacing w:line="269" w:lineRule="auto" w:before="142" w:after="22"/>
        <w:ind w:left="824" w:right="1008" w:firstLine="0"/>
        <w:jc w:val="left"/>
      </w:pP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Количество вакантных бюджетных мест определяется как разница между</w:t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контрольными цифрами соответствующего года приема (количество мест</w:t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бюджетного приема на первый год обучения, установленные приказом</w:t>
      </w:r>
      <w:r>
        <w:br/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Министерства образования и науки РФ и распределенных по образовательным</w:t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программам решением ученого совета НИУ ВШЭ) и фактическим количеством</w:t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студентов, обучающихся на бюджетных местах по соответствующей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20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образовательной программе на соответствующем курсе.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716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6" w:right="1152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Как определяется количество вакантных целевых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мест для перехода?</w:t>
            </w:r>
          </w:p>
        </w:tc>
      </w:tr>
    </w:tbl>
    <w:p>
      <w:pPr>
        <w:autoSpaceDN w:val="0"/>
        <w:autoSpaceDE w:val="0"/>
        <w:widowControl/>
        <w:spacing w:line="266" w:lineRule="auto" w:before="134" w:after="22"/>
        <w:ind w:left="824" w:right="100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Количество вакантных целевых мест определяется как разница между числом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студентов, обучавшихся на целевых бюджетных местах на дату завершения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предыдущей Кампании (либо на дату поступления в НИУ ВШЭ для зимней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кампании в отношении первого курса), но отчисленных на дату старта текущей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00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Кампании.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730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6" w:right="432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Как определяется количество вакантных мест за счет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средств НИУ ВШЭ для перехода?</w:t>
            </w:r>
          </w:p>
        </w:tc>
      </w:tr>
    </w:tbl>
    <w:p>
      <w:pPr>
        <w:autoSpaceDN w:val="0"/>
        <w:autoSpaceDE w:val="0"/>
        <w:widowControl/>
        <w:spacing w:line="262" w:lineRule="auto" w:before="120" w:after="22"/>
        <w:ind w:left="824" w:right="864" w:firstLine="0"/>
        <w:jc w:val="left"/>
      </w:pP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Количество вакантных мест за счет средств НИУ ВШЭ определяет Комиссия по</w:t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согласованию с проректором, отвечающим за формирование и реализацию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20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финансовой и экономической политики НИУ ВШЭ.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2164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6" w:after="0"/>
              <w:ind w:left="456" w:right="576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Когда публикуется информация о наличии вакантных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бесплатных мест на образовательной программе и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стартует кампания?</w:t>
            </w:r>
          </w:p>
        </w:tc>
      </w:tr>
    </w:tbl>
    <w:p>
      <w:pPr>
        <w:autoSpaceDN w:val="0"/>
        <w:autoSpaceDE w:val="0"/>
        <w:widowControl/>
        <w:spacing w:line="262" w:lineRule="auto" w:before="134" w:after="0"/>
        <w:ind w:left="824" w:right="129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Сроки размещения информации о количестве вакантных бесплатных мест 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начало кампании:</w:t>
      </w:r>
    </w:p>
    <w:p>
      <w:pPr>
        <w:autoSpaceDN w:val="0"/>
        <w:autoSpaceDE w:val="0"/>
        <w:widowControl/>
        <w:spacing w:line="240" w:lineRule="auto" w:before="254" w:after="0"/>
        <w:ind w:left="14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После осеннего периода пересдач: 27 октября </w:t>
      </w:r>
    </w:p>
    <w:p>
      <w:pPr>
        <w:autoSpaceDN w:val="0"/>
        <w:autoSpaceDE w:val="0"/>
        <w:widowControl/>
        <w:spacing w:line="240" w:lineRule="auto" w:before="240" w:after="0"/>
        <w:ind w:left="14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После сессии 2 модуля: 27 января </w:t>
      </w:r>
    </w:p>
    <w:p>
      <w:pPr>
        <w:autoSpaceDN w:val="0"/>
        <w:autoSpaceDE w:val="0"/>
        <w:widowControl/>
        <w:spacing w:line="240" w:lineRule="auto" w:before="240" w:after="0"/>
        <w:ind w:left="14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После зимнего периода пересдач: 10 марта</w:t>
      </w:r>
    </w:p>
    <w:p>
      <w:pPr>
        <w:autoSpaceDN w:val="0"/>
        <w:autoSpaceDE w:val="0"/>
        <w:widowControl/>
        <w:spacing w:line="240" w:lineRule="auto" w:before="240" w:after="0"/>
        <w:ind w:left="14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После сессии 4 модуля: 21 июля </w:t>
      </w:r>
    </w:p>
    <w:p>
      <w:pPr>
        <w:autoSpaceDN w:val="0"/>
        <w:autoSpaceDE w:val="0"/>
        <w:widowControl/>
        <w:spacing w:line="262" w:lineRule="auto" w:before="256" w:after="0"/>
        <w:ind w:left="824" w:right="115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Если установленная дата публикации информации совпадает с выходными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(праздничными) днями, срок может быть перенесен на первый рабочий день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после окончания выходных (праздничных) дней.</w:t>
      </w:r>
    </w:p>
    <w:p>
      <w:pPr>
        <w:autoSpaceDN w:val="0"/>
        <w:autoSpaceDE w:val="0"/>
        <w:widowControl/>
        <w:spacing w:line="240" w:lineRule="auto" w:before="60" w:after="22"/>
        <w:ind w:left="8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Информация о наличии вакантных бюджетных мест на ОП - на страницах ОП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20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"Число студентов и вакантные места".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716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6" w:right="2016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Каков порядок подачи заявки о переходе на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бесплатное место?</w:t>
            </w:r>
          </w:p>
        </w:tc>
      </w:tr>
    </w:tbl>
    <w:p>
      <w:pPr>
        <w:autoSpaceDN w:val="0"/>
        <w:autoSpaceDE w:val="0"/>
        <w:widowControl/>
        <w:spacing w:line="262" w:lineRule="auto" w:before="134" w:after="0"/>
        <w:ind w:left="1424" w:right="187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— Сроки подачи заявок в НИУ ВШЭ установлены: в течение семи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календарных дней с даты начала кампании (включительно).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770" w:after="0"/>
        <w:ind w:left="1424" w:right="864" w:firstLine="0"/>
        <w:jc w:val="left"/>
      </w:pP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В кабинете в системе </w:t>
      </w:r>
      <w:r>
        <w:rPr>
          <w:shd w:val="clear" w:color="auto" w:fill="000095"/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iStudy</w:t>
          </w:r>
        </w:hyperlink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НИУ ВШЭ доступен модуль «Заявка на</w:t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переход на бесплатное место», через который студенты, обучающиеся на</w:t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коммерческой основе, должны оформлять заявки на перевод на</w:t>
      </w:r>
      <w:r>
        <w:br/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бесплатное обучение. </w:t>
      </w:r>
    </w:p>
    <w:p>
      <w:pPr>
        <w:autoSpaceDN w:val="0"/>
        <w:autoSpaceDE w:val="0"/>
        <w:widowControl/>
        <w:spacing w:line="262" w:lineRule="auto" w:before="254" w:after="30"/>
        <w:ind w:left="824" w:right="115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Важно: При подаче заявки на переход на бесплатное обучение по основанию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успеваемости студент не сможет выбрать (опция будет не активна)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соответствующее основание для перевода, если на образовательной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26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программе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нет вакантных бюджетных мест.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714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6" w:after="0"/>
              <w:ind w:left="456" w:right="1728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Принятие решений о переходе на бесплатное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обучение</w:t>
            </w:r>
          </w:p>
        </w:tc>
      </w:tr>
    </w:tbl>
    <w:p>
      <w:pPr>
        <w:autoSpaceDN w:val="0"/>
        <w:autoSpaceDE w:val="0"/>
        <w:widowControl/>
        <w:spacing w:line="262" w:lineRule="auto" w:before="134" w:after="194"/>
        <w:ind w:left="824" w:right="100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После завершения периода рассмотрения заявок, принятых на рассмотрение,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решение о переходе студента с платного обучения на бесплатное принимает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общеуниверситетская комиссия.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58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Решение оформляется протоколом комиссии.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730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6" w:right="216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Дата перехода на бесплатное обучение при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соответствующем решении Комиссии</w:t>
            </w:r>
          </w:p>
        </w:tc>
      </w:tr>
    </w:tbl>
    <w:p>
      <w:pPr>
        <w:autoSpaceDN w:val="0"/>
        <w:autoSpaceDE w:val="0"/>
        <w:widowControl/>
        <w:spacing w:line="240" w:lineRule="auto" w:before="120" w:after="0"/>
        <w:ind w:left="8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с 1 ноября для осенней кампании после периода пересдач;</w:t>
      </w:r>
    </w:p>
    <w:p>
      <w:pPr>
        <w:autoSpaceDN w:val="0"/>
        <w:autoSpaceDE w:val="0"/>
        <w:widowControl/>
        <w:spacing w:line="240" w:lineRule="auto" w:before="256" w:after="0"/>
        <w:ind w:left="8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с 1 февраля для зимней кампании;</w:t>
      </w:r>
    </w:p>
    <w:p>
      <w:pPr>
        <w:autoSpaceDN w:val="0"/>
        <w:autoSpaceDE w:val="0"/>
        <w:widowControl/>
        <w:spacing w:line="240" w:lineRule="auto" w:before="256" w:after="196"/>
        <w:ind w:left="8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с 1 апреля для весенней кампании после периода пересдач;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58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– с 1 сентября для летней кампании.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670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00"/>
            </w:tblGrid>
            <w:tr>
              <w:trPr>
                <w:trHeight w:hRule="exact" w:val="670"/>
              </w:trPr>
              <w:tc>
                <w:tcPr>
                  <w:tcW w:type="dxa" w:w="10200"/>
                  <w:tcBorders/>
                  <w:shd w:fill="004fc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2" w:after="0"/>
                    <w:ind w:left="0" w:right="0" w:firstLine="0"/>
                    <w:jc w:val="center"/>
                  </w:pPr>
                  <w:r>
                    <w:rPr>
                      <w:w w:val="98.70967249716482"/>
                      <w:rFonts w:ascii="HSE Sans" w:hAnsi="HSE Sans" w:eastAsia="HSE Sans"/>
                      <w:b/>
                      <w:i w:val="0"/>
                      <w:color w:val="FFFFFF"/>
                      <w:sz w:val="31"/>
                    </w:rPr>
                    <w:t>Протоколы общеуниверситетской комиссии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266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6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Важно</w:t>
            </w:r>
          </w:p>
        </w:tc>
      </w:tr>
    </w:tbl>
    <w:p>
      <w:pPr>
        <w:autoSpaceDN w:val="0"/>
        <w:autoSpaceDE w:val="0"/>
        <w:widowControl/>
        <w:spacing w:line="264" w:lineRule="auto" w:before="134" w:after="0"/>
        <w:ind w:left="1424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Если у студента есть основания претендовать на переход на бесплатное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обучение, а он не смог (не успел) подать заявку в установленный срок, то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он сможет подать заявку в следующий период.</w:t>
      </w:r>
    </w:p>
    <w:p>
      <w:pPr>
        <w:autoSpaceDN w:val="0"/>
        <w:autoSpaceDE w:val="0"/>
        <w:widowControl/>
        <w:spacing w:line="266" w:lineRule="auto" w:before="240" w:after="0"/>
        <w:ind w:left="1424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Если студент НИУ ВШЭ удовлетворяет критериям по основанию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успеваемости, но на соответствующем курсе образовательной программы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отсутствуют вакантные бюджетные места, студент не может перейти на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бесплатное обучение.</w:t>
      </w:r>
    </w:p>
    <w:p>
      <w:pPr>
        <w:autoSpaceDN w:val="0"/>
        <w:autoSpaceDE w:val="0"/>
        <w:widowControl/>
        <w:spacing w:line="262" w:lineRule="auto" w:before="240" w:after="30"/>
        <w:ind w:left="1424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Если студент претендует на переход на вакантное целевое место, ему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необходимо приложить к заявке подтверждение согласия от компании-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заказчика: договор о целевом обучении или письмо-согласие о заключении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984"/>
        </w:trPr>
        <w:tc>
          <w:tcPr>
            <w:tcW w:type="dxa" w:w="1078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4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такого договора.</w:t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14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Если студент НИУ ВШЭ претендует на перевод на бесплатное обучение</w:t>
            </w:r>
          </w:p>
        </w:tc>
      </w:tr>
    </w:tbl>
    <w:p>
      <w:pPr>
        <w:autoSpaceDN w:val="0"/>
        <w:autoSpaceDE w:val="0"/>
        <w:widowControl/>
        <w:spacing w:line="240" w:lineRule="auto" w:before="22" w:after="30"/>
        <w:ind w:left="14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 социальным основаниям, он может подать заявку при отсутствии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28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0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вакантных бюджетных мест на программе. 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266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6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Регламентирующие документы</w:t>
            </w:r>
          </w:p>
        </w:tc>
      </w:tr>
    </w:tbl>
    <w:p>
      <w:pPr>
        <w:autoSpaceDN w:val="0"/>
        <w:autoSpaceDE w:val="0"/>
        <w:widowControl/>
        <w:spacing w:line="271" w:lineRule="auto" w:before="118" w:after="24"/>
        <w:ind w:left="824" w:right="1296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 xml:space="preserve">Приказ Министерства науки и высшего образования РФ от 28 августа 2023 г. 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N 822 "Об утверждении порядка и случаев перехода лиц, обучающихся по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образовательным программам среднего профессионального и высшего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образования, с платного обучения на обучение за счет средств бюджетных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ассигнований федерального бюджета, бюджетов субъектов Российской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Федерации и местных бюджетов либо за счет собственных средств</w:t>
          </w:r>
        </w:hyperlink>
      </w:r>
      <w:r>
        <w:br/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организации, осуществляющей образовательную деятельность, в том числе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средств, полученных от приносящей доход деятельности, добровольных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426"/>
        </w:trPr>
        <w:tc>
          <w:tcPr>
            <w:tcW w:type="dxa" w:w="1078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824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>пожертвований и целевых взносов физических и (или) юридических лиц"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819"/>
      </w:tblGrid>
      <w:tr>
        <w:trPr>
          <w:trHeight w:hRule="exact" w:val="444"/>
        </w:trPr>
        <w:tc>
          <w:tcPr>
            <w:tcW w:type="dxa" w:w="9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Регламент организации перехода студентов Национального исследовательского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928"/>
        </w:trPr>
        <w:tc>
          <w:tcPr>
            <w:tcW w:type="dxa" w:w="1078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2" w:after="0"/>
              <w:ind w:left="824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университета «Высшая школа экономики» (Москва) с платного обучения на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30" w:after="22"/>
        <w:ind w:left="824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обучение за счет бюджетных ассигнований федерального бюджета или за счет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5409"/>
        <w:gridCol w:w="5409"/>
      </w:tblGrid>
      <w:tr>
        <w:trPr>
          <w:trHeight w:hRule="exact" w:val="484"/>
        </w:trPr>
        <w:tc>
          <w:tcPr>
            <w:tcW w:type="dxa" w:w="992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4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собственных средств университета</w:t>
                </w:r>
              </w:hyperlink>
            </w:r>
          </w:p>
        </w:tc>
      </w:tr>
      <w:tr>
        <w:trPr>
          <w:trHeight w:hRule="exact" w:val="506"/>
        </w:trPr>
        <w:tc>
          <w:tcPr>
            <w:tcW w:type="dxa" w:w="7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36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980440</wp:posOffset>
                  </wp:positionH>
                  <wp:positionV relativeFrom="page">
                    <wp:posOffset>1333500</wp:posOffset>
                  </wp:positionV>
                  <wp:extent cx="190500" cy="17145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1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40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Регламент организации перехода студентов НИУ ВШЭ – Санкт-Петербург с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824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платного обучения на бесплатное</w:t>
          </w:r>
        </w:hyperlink>
      </w:r>
    </w:p>
    <w:p>
      <w:pPr>
        <w:autoSpaceDN w:val="0"/>
        <w:autoSpaceDE w:val="0"/>
        <w:widowControl/>
        <w:spacing w:line="266" w:lineRule="auto" w:before="256" w:after="0"/>
        <w:ind w:left="824" w:right="864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Регламент организации перехода студентов Национального исследовательского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университета «Высшая школа экономики», обучающихся в НИУ ВШЭ – Нижний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Новгород, с платного обучения на обучение за счет бюджетных ассигнований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федерального бюджета или за счет собственных средств университета</w:t>
          </w:r>
        </w:hyperlink>
      </w:r>
    </w:p>
    <w:p>
      <w:pPr>
        <w:autoSpaceDN w:val="0"/>
        <w:autoSpaceDE w:val="0"/>
        <w:widowControl/>
        <w:spacing w:line="240" w:lineRule="auto" w:before="254" w:after="30"/>
        <w:ind w:left="824" w:right="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Регламент организации, условий и порядка перехода студентов НИУ ВШЭ –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728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456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 xml:space="preserve"> Пермь переход студентов с платного обучения на бесплатное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5" w:lineRule="auto" w:before="668" w:after="166"/>
        <w:ind w:left="300" w:right="864" w:firstLine="0"/>
        <w:jc w:val="left"/>
      </w:pPr>
      <w:r>
        <w:rPr>
          <w:rFonts w:ascii="HSE Sans" w:hAnsi="HSE Sans" w:eastAsia="HSE Sans"/>
          <w:b/>
          <w:i w:val="0"/>
          <w:color w:val="000000"/>
          <w:sz w:val="33"/>
        </w:rPr>
        <w:t>Перевод на бесплатное обучение участников СВО, их детей или</w:t>
      </w:r>
      <w:r>
        <w:rPr>
          <w:rFonts w:ascii="HSE Sans" w:hAnsi="HSE Sans" w:eastAsia="HSE Sans"/>
          <w:b/>
          <w:i w:val="0"/>
          <w:color w:val="000000"/>
          <w:sz w:val="33"/>
        </w:rPr>
        <w:t>близких родственников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324"/>
        </w:trPr>
        <w:tc>
          <w:tcPr>
            <w:tcW w:type="dxa" w:w="10050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84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Участники СВО, их дети и иные близкие родственники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 имеют право</w:t>
            </w:r>
            <w:r>
              <w:rPr>
                <w:w w:val="98.52272380482067"/>
                <w:rFonts w:ascii="HSE Sans" w:hAnsi="HSE Sans" w:eastAsia="HSE Sans"/>
                <w:b w:val="0"/>
                <w:i w:val="0"/>
                <w:color w:val="000000"/>
                <w:sz w:val="22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264" w:lineRule="auto" w:before="14" w:after="0"/>
        <w:ind w:left="824" w:right="144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претендовать на перевод на бесплатное обучение, включая места за счет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средств НИУ ВШЭ, в рамках кампании по переводу с платного обучения на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бесплатное.</w:t>
      </w:r>
    </w:p>
    <w:p>
      <w:pPr>
        <w:autoSpaceDN w:val="0"/>
        <w:autoSpaceDE w:val="0"/>
        <w:widowControl/>
        <w:spacing w:line="240" w:lineRule="auto" w:before="260" w:after="0"/>
        <w:ind w:left="824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15"/>
        </w:rPr>
        <w:t>* Иными близкими родственниками участника СВО признаются супруг (супруга) участника специальной военной операции, родители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rPr>
          <w:rFonts w:ascii="HSE Sans" w:hAnsi="HSE Sans" w:eastAsia="HSE Sans"/>
          <w:b w:val="0"/>
          <w:i w:val="0"/>
          <w:color w:val="000000"/>
          <w:sz w:val="15"/>
        </w:rPr>
        <w:t>(усыновители), полнородные и неполнородные братья и сестры, представившие документ (-ы), подтверждающий (-е)  факт заключения</w:t>
      </w:r>
    </w:p>
    <w:p>
      <w:pPr>
        <w:autoSpaceDN w:val="0"/>
        <w:autoSpaceDE w:val="0"/>
        <w:widowControl/>
        <w:spacing w:line="240" w:lineRule="auto" w:before="188" w:after="0"/>
        <w:ind w:left="824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15"/>
        </w:rPr>
        <w:t>брака, родства или усыновления, и справку, выданную члену семьи участника СВО по форме, установленной Правительством</w:t>
      </w:r>
    </w:p>
    <w:p>
      <w:pPr>
        <w:autoSpaceDN w:val="0"/>
        <w:autoSpaceDE w:val="0"/>
        <w:widowControl/>
        <w:spacing w:line="240" w:lineRule="auto" w:before="188" w:after="0"/>
        <w:ind w:left="824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15"/>
        </w:rPr>
        <w:t xml:space="preserve">Российской Федерации. </w:t>
      </w:r>
      <w:r>
        <w:rPr>
          <w:rFonts w:ascii="HSE Sans" w:hAnsi="HSE Sans" w:eastAsia="HSE Sans"/>
          <w:b/>
          <w:i w:val="0"/>
          <w:color w:val="000000"/>
          <w:sz w:val="15"/>
        </w:rPr>
        <w:t>Документы, подтверждающие участие в СВО (</w:t>
      </w:r>
      <w:r>
        <w:rPr>
          <w:rFonts w:ascii="HSE Sans" w:hAnsi="HSE Sans" w:eastAsia="HSE Sans"/>
          <w:b w:val="0"/>
          <w:i w:val="0"/>
          <w:color w:val="000000"/>
          <w:sz w:val="15"/>
        </w:rPr>
        <w:t>с</w:t>
      </w:r>
      <w:r>
        <w:rPr>
          <w:rFonts w:ascii="HSE Sans" w:hAnsi="HSE Sans" w:eastAsia="HSE Sans"/>
          <w:b/>
          <w:i w:val="0"/>
          <w:color w:val="000000"/>
          <w:sz w:val="15"/>
        </w:rPr>
        <w:t>правка о подтверждении факта участия в СВО, выданную по</w:t>
      </w:r>
    </w:p>
    <w:p>
      <w:pPr>
        <w:autoSpaceDN w:val="0"/>
        <w:autoSpaceDE w:val="0"/>
        <w:widowControl/>
        <w:spacing w:line="240" w:lineRule="auto" w:before="202" w:after="128"/>
        <w:ind w:left="824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15"/>
        </w:rPr>
        <w:t>форме, установленной Правительством Российской Федерации) и/или родство с участником СВО должны быть приложены к заявке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18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6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15"/>
              </w:rPr>
              <w:t xml:space="preserve">iStudy.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280"/>
        </w:trPr>
        <w:tc>
          <w:tcPr>
            <w:tcW w:type="dxa" w:w="10050"/>
            <w:tcBorders>
              <w:top w:sz="6.0" w:val="single" w:color="#EFEFE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456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Важно</w:t>
            </w:r>
          </w:p>
        </w:tc>
      </w:tr>
    </w:tbl>
    <w:p>
      <w:pPr>
        <w:autoSpaceDN w:val="0"/>
        <w:autoSpaceDE w:val="0"/>
        <w:widowControl/>
        <w:spacing w:line="271" w:lineRule="auto" w:before="118" w:after="30"/>
        <w:ind w:left="824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Студенты, относящийся к категориям: дети-сироты и дети, оставшиеся без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попечения родителей; граждане в возрасте до двадцати лет, имеющие только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одного родителя - инвалида I группы, если среднедушевой доход семьи ниже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величины прожиточного минимума, установленного в соответствующем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субъекте Российской Федерации; женщины, родившие ребенка в период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обучения; дети лиц, принимающих или принимавших участие в СВО; утрата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студентом в период обучения одного или обоих родителей (законных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представителей) или единственного родителя (законного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представителя); наличие статуса участника СВО; наличия статуса иных близких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родственников участника СВО, могут подать заявку через специальный модуль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28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при отсутствии вакантных бесплатных мест. 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716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32" w:right="1872" w:firstLine="0"/>
              <w:jc w:val="center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Критерии перехода на бесплатные места для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участников СВО и их близких родственников</w:t>
            </w:r>
          </w:p>
        </w:tc>
      </w:tr>
    </w:tbl>
    <w:p>
      <w:pPr>
        <w:autoSpaceDN w:val="0"/>
        <w:autoSpaceDE w:val="0"/>
        <w:widowControl/>
        <w:spacing w:line="254" w:lineRule="auto" w:before="134" w:after="0"/>
        <w:ind w:left="824" w:right="230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 может претендовать на перевод на бесплатное место при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соблюдении следующих условий: </w:t>
      </w:r>
    </w:p>
    <w:p>
      <w:pPr>
        <w:autoSpaceDN w:val="0"/>
        <w:autoSpaceDE w:val="0"/>
        <w:widowControl/>
        <w:spacing w:line="254" w:lineRule="auto" w:before="256" w:after="0"/>
        <w:ind w:left="1424" w:right="144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является участником СВО / ребенком или близким родственником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(супруги / родные братья и сестры) участника СВО;</w:t>
      </w:r>
    </w:p>
    <w:p>
      <w:pPr>
        <w:autoSpaceDN w:val="0"/>
        <w:autoSpaceDE w:val="0"/>
        <w:widowControl/>
        <w:spacing w:line="254" w:lineRule="auto" w:before="256" w:after="24"/>
        <w:ind w:left="1424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не имеет академических задолженностей и не обучается в связи с этим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по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индивидуальному учебному плану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специального типа с повторным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012"/>
        </w:trPr>
        <w:tc>
          <w:tcPr>
            <w:tcW w:type="dxa" w:w="1078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22" w:after="0"/>
              <w:ind w:left="1424" w:right="4752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изучением ряда дисциплин;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не имеет дисциплинарных взысканий;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58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не имеет задолженности по </w:t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оплате обучения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tabs>
          <w:tab w:pos="764" w:val="left"/>
        </w:tabs>
        <w:autoSpaceDE w:val="0"/>
        <w:widowControl/>
        <w:spacing w:line="245" w:lineRule="auto" w:before="668" w:after="0"/>
        <w:ind w:left="300" w:right="7344" w:firstLine="0"/>
        <w:jc w:val="left"/>
      </w:pPr>
      <w:r>
        <w:rPr>
          <w:rFonts w:ascii="HSE Sans" w:hAnsi="HSE Sans" w:eastAsia="HSE Sans"/>
          <w:b/>
          <w:i w:val="0"/>
          <w:color w:val="000000"/>
          <w:sz w:val="33"/>
        </w:rPr>
        <w:t>Процедура перевода</w:t>
      </w:r>
      <w:r>
        <w:br/>
      </w:r>
      <w:r>
        <w:tab/>
      </w:r>
      <w:r>
        <w:rPr>
          <w:rFonts w:ascii="HSE Sans" w:hAnsi="HSE Sans" w:eastAsia="HSE Sans"/>
          <w:b/>
          <w:i w:val="0"/>
          <w:color w:val="003399"/>
          <w:sz w:val="219"/>
        </w:rPr>
        <w:t>1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2966"/>
        </w:trPr>
        <w:tc>
          <w:tcPr>
            <w:tcW w:type="dxa" w:w="10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64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1.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Подайте заявку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почте через ЕЛК) НИУ ВШЭ доступен модуль «Заявка на переход на</w:t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14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бесплатное место», через который студенты, обучающиеся на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9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В личном кабинете в системе </w:t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iStudy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 (авторизаться по корпоративной</w:t>
            </w:r>
          </w:p>
        </w:tc>
      </w:tr>
    </w:tbl>
    <w:p>
      <w:pPr>
        <w:autoSpaceDN w:val="0"/>
        <w:autoSpaceDE w:val="0"/>
        <w:widowControl/>
        <w:spacing w:line="254" w:lineRule="auto" w:before="6" w:after="0"/>
        <w:ind w:left="1424" w:right="2016" w:firstLine="0"/>
        <w:jc w:val="left"/>
      </w:pP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коммерческой основе, должны оформлять заявки на перевод на</w:t>
      </w:r>
      <w:r>
        <w:rPr>
          <w:shd w:val="clear" w:color="auto" w:fill="000095"/>
          <w:w w:val="98.07692307692307"/>
          <w:rFonts w:ascii="HSE Sans" w:hAnsi="HSE Sans" w:eastAsia="HSE Sans"/>
          <w:b w:val="0"/>
          <w:i w:val="0"/>
          <w:color w:val="000000"/>
          <w:sz w:val="26"/>
        </w:rPr>
        <w:t>бесплатное обучение.</w:t>
      </w:r>
    </w:p>
    <w:p>
      <w:pPr>
        <w:autoSpaceDN w:val="0"/>
        <w:autoSpaceDE w:val="0"/>
        <w:widowControl/>
        <w:spacing w:line="254" w:lineRule="auto" w:before="256" w:after="0"/>
        <w:ind w:left="1424" w:right="115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Прикрепите к заявке в iStudy документы, подтверждающие участие в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СВО и/или родство с участником СВО.</w:t>
      </w:r>
    </w:p>
    <w:p>
      <w:pPr>
        <w:autoSpaceDN w:val="0"/>
        <w:autoSpaceDE w:val="0"/>
        <w:widowControl/>
        <w:spacing w:line="240" w:lineRule="auto" w:before="240" w:after="22"/>
        <w:ind w:left="14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Сроки подачи заявок в НИУ ВШЭ установлены: в течение семи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7492"/>
        </w:trPr>
        <w:tc>
          <w:tcPr>
            <w:tcW w:type="dxa" w:w="10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4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календарных дней с даты начала кампании (включительно).</w:t>
            </w:r>
          </w:p>
          <w:p>
            <w:pPr>
              <w:autoSpaceDN w:val="0"/>
              <w:autoSpaceDE w:val="0"/>
              <w:widowControl/>
              <w:spacing w:line="240" w:lineRule="auto" w:before="702" w:after="0"/>
              <w:ind w:left="764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Дождитесь результатов верификации документов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Центр сервиса «Студент» совместно с Дирекцией по сопровождению особых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категорий студентов проверит основание для перевода. 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4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Дождитесь выхода решения Комиссии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В результате рассмотрения заявки каждого студента Комиссией принимается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одно из следующих решений:</w:t>
            </w:r>
          </w:p>
          <w:p>
            <w:pPr>
              <w:autoSpaceDN w:val="0"/>
              <w:autoSpaceDE w:val="0"/>
              <w:widowControl/>
              <w:spacing w:line="240" w:lineRule="auto" w:before="256" w:after="0"/>
              <w:ind w:left="8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– о переходе студента на обучение на бюджетное место;</w:t>
            </w:r>
          </w:p>
        </w:tc>
      </w:tr>
    </w:tbl>
    <w:p>
      <w:pPr>
        <w:autoSpaceDN w:val="0"/>
        <w:autoSpaceDE w:val="0"/>
        <w:widowControl/>
        <w:spacing w:line="240" w:lineRule="auto" w:before="196" w:after="0"/>
        <w:ind w:left="824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о переходе студента на обучение за счет средств НИУ ВШЭ ;</w:t>
      </w:r>
    </w:p>
    <w:p>
      <w:pPr>
        <w:autoSpaceDN w:val="0"/>
        <w:autoSpaceDE w:val="0"/>
        <w:widowControl/>
        <w:spacing w:line="254" w:lineRule="auto" w:before="256" w:after="0"/>
        <w:ind w:left="824" w:right="158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об отказе в переходе студента на обучение за счет средств бюджетных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ассигнований либо за счет средств НИУ ВШЭ.</w:t>
      </w:r>
    </w:p>
    <w:p>
      <w:pPr>
        <w:autoSpaceDN w:val="0"/>
        <w:autoSpaceDE w:val="0"/>
        <w:widowControl/>
        <w:spacing w:line="240" w:lineRule="auto" w:before="704" w:after="0"/>
        <w:ind w:left="764" w:right="0" w:firstLine="0"/>
        <w:jc w:val="left"/>
      </w:pPr>
      <w:r>
        <w:rPr>
          <w:rFonts w:ascii="HSE Sans" w:hAnsi="HSE Sans" w:eastAsia="HSE Sans"/>
          <w:b/>
          <w:i w:val="0"/>
          <w:color w:val="003399"/>
          <w:sz w:val="219"/>
        </w:rPr>
        <w:t>4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3242"/>
        </w:trPr>
        <w:tc>
          <w:tcPr>
            <w:tcW w:type="dxa" w:w="10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64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4.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Дата перехода на бесплатное обучение при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4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соответствующем решении Комиссии</w:t>
            </w:r>
          </w:p>
          <w:p>
            <w:pPr>
              <w:autoSpaceDN w:val="0"/>
              <w:autoSpaceDE w:val="0"/>
              <w:widowControl/>
              <w:spacing w:line="240" w:lineRule="auto" w:before="202" w:after="0"/>
              <w:ind w:left="8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– с 1 ноября для осенней кампании после периода пересдач;</w:t>
            </w:r>
          </w:p>
          <w:p>
            <w:pPr>
              <w:autoSpaceDN w:val="0"/>
              <w:autoSpaceDE w:val="0"/>
              <w:widowControl/>
              <w:spacing w:line="240" w:lineRule="auto" w:before="256" w:after="0"/>
              <w:ind w:left="8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– с 1 февраля для зимней кампании;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464"/>
        </w:trPr>
        <w:tc>
          <w:tcPr>
            <w:tcW w:type="dxa" w:w="1078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– с 1 апреля для весенней кампании после периода пересдач;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56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– с 1 сентября для летней кампании.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358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FFFFFF"/>
                <w:sz w:val="31"/>
              </w:rPr>
              <w:t>Протоколы общеуниверситетской комиссии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1962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2" w:after="0"/>
              <w:ind w:left="524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38"/>
              </w:rPr>
              <w:t>Остались вопросы?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58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Напишите на почту </w:t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9" w:history="1">
                <w:r>
                  <w:rPr>
                    <w:rStyle w:val="Hyperlink"/>
                  </w:rPr>
                  <w:t>Центра сервиса «Студент»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: </w:t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studcentre@hse.ru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326"/>
        </w:trPr>
        <w:tc>
          <w:tcPr>
            <w:tcW w:type="dxa" w:w="10050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0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Студентам филиалов НИУ ВШЭ (Санкт-Петербург, Нижний Новгород, Пермь)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19"/>
      </w:tblGrid>
      <w:tr>
        <w:trPr>
          <w:trHeight w:hRule="exact" w:val="1120"/>
        </w:trPr>
        <w:tc>
          <w:tcPr>
            <w:tcW w:type="dxa" w:w="1005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5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необходимо обращаться в учебные офисы своих образовательных программ.</w:t>
            </w:r>
          </w:p>
        </w:tc>
      </w:tr>
    </w:tbl>
    <w:p>
      <w:pPr>
        <w:autoSpaceDN w:val="0"/>
        <w:autoSpaceDE w:val="0"/>
        <w:widowControl/>
        <w:spacing w:line="240" w:lineRule="auto" w:before="1522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8648700</wp:posOffset>
            </wp:positionV>
            <wp:extent cx="4953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9029700</wp:posOffset>
            </wp:positionV>
            <wp:extent cx="1333500" cy="304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1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9535160</wp:posOffset>
            </wp:positionV>
            <wp:extent cx="228600" cy="228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1828800</wp:posOffset>
            </wp:positionV>
            <wp:extent cx="6858000" cy="45783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8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5181600</wp:posOffset>
            </wp:positionV>
            <wp:extent cx="838200" cy="63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44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34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76" w:lineRule="auto" w:before="476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9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perbud_nn" TargetMode="External"/><Relationship Id="rId12" Type="http://schemas.openxmlformats.org/officeDocument/2006/relationships/hyperlink" Target="https://www.hse.ru/studyspravka/perbud_spb" TargetMode="External"/><Relationship Id="rId13" Type="http://schemas.openxmlformats.org/officeDocument/2006/relationships/hyperlink" Target="https://www.hse.ru/cookie.html" TargetMode="External"/><Relationship Id="rId14" Type="http://schemas.openxmlformats.org/officeDocument/2006/relationships/hyperlink" Target="https://www.hse.ru/data_protection_regulation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hyperlink" Target="https://ivo.garant.ru/#/document/407740444/paragraph/1:1" TargetMode="External"/><Relationship Id="rId19" Type="http://schemas.openxmlformats.org/officeDocument/2006/relationships/hyperlink" Target="https://www.hse.ru/studyspravka/repeated_courses" TargetMode="External"/><Relationship Id="rId20" Type="http://schemas.openxmlformats.org/officeDocument/2006/relationships/hyperlink" Target="https://www.hse.ru/studyspravka/fees" TargetMode="External"/><Relationship Id="rId21" Type="http://schemas.openxmlformats.org/officeDocument/2006/relationships/hyperlink" Target="https://www.hse.ru/docs/1043321399.html" TargetMode="External"/><Relationship Id="rId22" Type="http://schemas.openxmlformats.org/officeDocument/2006/relationships/image" Target="media/image4.png"/><Relationship Id="rId23" Type="http://schemas.openxmlformats.org/officeDocument/2006/relationships/hyperlink" Target="https://istudy.hse.ru/vbm-applications" TargetMode="External"/><Relationship Id="rId24" Type="http://schemas.openxmlformats.org/officeDocument/2006/relationships/image" Target="media/image5.png"/><Relationship Id="rId25" Type="http://schemas.openxmlformats.org/officeDocument/2006/relationships/hyperlink" Target="https://www.hse.ru/mirror/pubs/share/1099980170.docx" TargetMode="External"/><Relationship Id="rId26" Type="http://schemas.openxmlformats.org/officeDocument/2006/relationships/hyperlink" Target="https://www.hse.ru/docs/1048121069.html" TargetMode="External"/><Relationship Id="rId27" Type="http://schemas.openxmlformats.org/officeDocument/2006/relationships/hyperlink" Target="https://www.hse.ru/docs/1064623665.html" TargetMode="External"/><Relationship Id="rId28" Type="http://schemas.openxmlformats.org/officeDocument/2006/relationships/hyperlink" Target="https://www.hse.ru/studyspravka/plan" TargetMode="External"/><Relationship Id="rId29" Type="http://schemas.openxmlformats.org/officeDocument/2006/relationships/hyperlink" Target="https://studentcentre.hse.ru/#contacts" TargetMode="External"/><Relationship Id="rId30" Type="http://schemas.openxmlformats.org/officeDocument/2006/relationships/hyperlink" Target="mailto:studcentre@hse.ru?subject=%D0%92%D0%BE%D0%BF%D1%80%D0%BE%D1%81%20%D0%BF%D0%BE%20%D0%BF%D0%B5%D1%80%D0%B5%D0%B2%D0%BE%D0%B4%D1%83%20%D1%81%20%D0%BF%D0%BB%D0%B0%D1%82%D0%BD%D0%BE%D0%B3%D0%BE%20%D0%BE%D0%B1%D1%83%D1%87%D0%B5%D0%BD%D0%B8%D1%8F%20%D0%BD%D0%B0%20%D0%B1%D0%B5%D1%81%D0%BF%D0%BB%D0%B0%D1%82%D0%BD%D0%BE%D0%B5" TargetMode="External"/><Relationship Id="rId31" Type="http://schemas.openxmlformats.org/officeDocument/2006/relationships/image" Target="media/image6.png"/><Relationship Id="rId32" Type="http://schemas.openxmlformats.org/officeDocument/2006/relationships/image" Target="media/image7.png"/><Relationship Id="rId33" Type="http://schemas.openxmlformats.org/officeDocument/2006/relationships/image" Target="media/image8.png"/><Relationship Id="rId34" Type="http://schemas.openxmlformats.org/officeDocument/2006/relationships/hyperlink" Target="https://www.hse.ru/org/hse/info/" TargetMode="External"/><Relationship Id="rId35" Type="http://schemas.openxmlformats.org/officeDocument/2006/relationships/hyperlink" Target="https://figures.hse.ru/" TargetMode="External"/><Relationship Id="rId36" Type="http://schemas.openxmlformats.org/officeDocument/2006/relationships/hyperlink" Target="https://www.hse.ru/orgstructure/" TargetMode="External"/><Relationship Id="rId37" Type="http://schemas.openxmlformats.org/officeDocument/2006/relationships/hyperlink" Target="https://sustainability.hse.ru/" TargetMode="External"/><Relationship Id="rId38" Type="http://schemas.openxmlformats.org/officeDocument/2006/relationships/hyperlink" Target="https://www.hse.ru/org/persons/" TargetMode="External"/><Relationship Id="rId39" Type="http://schemas.openxmlformats.org/officeDocument/2006/relationships/hyperlink" Target="https://www.hse.ru/buildinghse" TargetMode="External"/><Relationship Id="rId40" Type="http://schemas.openxmlformats.org/officeDocument/2006/relationships/hyperlink" Target="https://www.hse.ru/org/hse/aup/procurement/" TargetMode="External"/><Relationship Id="rId41" Type="http://schemas.openxmlformats.org/officeDocument/2006/relationships/hyperlink" Target="https://www.hse.ru/appeal/" TargetMode="External"/><Relationship Id="rId42" Type="http://schemas.openxmlformats.org/officeDocument/2006/relationships/hyperlink" Target="https://endowment.hse.ru/" TargetMode="External"/><Relationship Id="rId43" Type="http://schemas.openxmlformats.org/officeDocument/2006/relationships/hyperlink" Target="https://www.hse.ru/anticorruption" TargetMode="External"/><Relationship Id="rId44" Type="http://schemas.openxmlformats.org/officeDocument/2006/relationships/hyperlink" Target="https://www.hse.ru/anticorruption/information" TargetMode="External"/><Relationship Id="rId45" Type="http://schemas.openxmlformats.org/officeDocument/2006/relationships/hyperlink" Target="https://www.hse.ru/sveden/" TargetMode="External"/><Relationship Id="rId46" Type="http://schemas.openxmlformats.org/officeDocument/2006/relationships/hyperlink" Target="https://inclusive.hse.ru/" TargetMode="External"/><Relationship Id="rId47" Type="http://schemas.openxmlformats.org/officeDocument/2006/relationships/hyperlink" Target="https://pay.hse.ru/" TargetMode="External"/><Relationship Id="rId48" Type="http://schemas.openxmlformats.org/officeDocument/2006/relationships/hyperlink" Target="https://www.hse.ru/career" TargetMode="External"/><Relationship Id="rId49" Type="http://schemas.openxmlformats.org/officeDocument/2006/relationships/hyperlink" Target="https://www.hse.ru/adm/edit/edit.html?goto=%2AL3N0dWR5c3ByYXZrYS9wZXJidWQ%2FX3I9Mjc5Njc0MDE3NzQ2OTk3NTIuMDAxNzI%3D%5E&amp;id=95178456&amp;cid=20594&amp;addon_name=default&amp;newportal=1" TargetMode="External"/><Relationship Id="rId50" Type="http://schemas.openxmlformats.org/officeDocument/2006/relationships/hyperlink" Target="https://www.hse.ru/contacts.html" TargetMode="External"/><Relationship Id="rId51" Type="http://schemas.openxmlformats.org/officeDocument/2006/relationships/hyperlink" Target="https://www.hse.ru/copyright" TargetMode="External"/><Relationship Id="rId52" Type="http://schemas.openxmlformats.org/officeDocument/2006/relationships/hyperlink" Target="https://www.hse.ru/sitemap.html" TargetMode="External"/><Relationship Id="rId53" Type="http://schemas.openxmlformats.org/officeDocument/2006/relationships/hyperlink" Target="https://design.hse.ru/" TargetMode="External"/><Relationship Id="rId54" Type="http://schemas.openxmlformats.org/officeDocument/2006/relationships/image" Target="media/image9.png"/><Relationship Id="rId5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