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7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15240</wp:posOffset>
            </wp:positionH>
            <wp:positionV relativeFrom="page">
              <wp:posOffset>24130</wp:posOffset>
            </wp:positionV>
            <wp:extent cx="7538719" cy="10528606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38719" cy="1052860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244"/>
        <w:gridCol w:w="1244"/>
        <w:gridCol w:w="1244"/>
        <w:gridCol w:w="1244"/>
        <w:gridCol w:w="1244"/>
        <w:gridCol w:w="1244"/>
        <w:gridCol w:w="1244"/>
        <w:gridCol w:w="1244"/>
      </w:tblGrid>
      <w:tr>
        <w:trPr>
          <w:trHeight w:hRule="exact" w:val="284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О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внесении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изменений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Положение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о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факультете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4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Национального </w:t>
            </w:r>
          </w:p>
        </w:tc>
      </w:tr>
    </w:tbl>
    <w:p>
      <w:pPr>
        <w:autoSpaceDN w:val="0"/>
        <w:autoSpaceDE w:val="0"/>
        <w:widowControl/>
        <w:spacing w:line="233" w:lineRule="auto" w:before="18" w:after="556"/>
        <w:ind w:left="2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исследовательского университета «Высшая школа экономики»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995"/>
        <w:gridCol w:w="995"/>
        <w:gridCol w:w="995"/>
        <w:gridCol w:w="995"/>
        <w:gridCol w:w="995"/>
        <w:gridCol w:w="995"/>
        <w:gridCol w:w="995"/>
        <w:gridCol w:w="995"/>
        <w:gridCol w:w="995"/>
        <w:gridCol w:w="995"/>
      </w:tblGrid>
      <w:tr>
        <w:trPr>
          <w:trHeight w:hRule="exact" w:val="332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9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соответствии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 </w:t>
            </w:r>
          </w:p>
        </w:tc>
        <w:tc>
          <w:tcPr>
            <w:tcW w:type="dxa" w:w="1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решениями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ученого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29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совета </w:t>
            </w:r>
          </w:p>
        </w:tc>
        <w:tc>
          <w:tcPr>
            <w:tcW w:type="dxa" w:w="1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8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Национального </w:t>
            </w:r>
          </w:p>
        </w:tc>
      </w:tr>
      <w:tr>
        <w:trPr>
          <w:trHeight w:hRule="exact" w:val="308"/>
        </w:trPr>
        <w:tc>
          <w:tcPr>
            <w:tcW w:type="dxa" w:w="2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исследовательского </w:t>
            </w:r>
          </w:p>
        </w:tc>
        <w:tc>
          <w:tcPr>
            <w:tcW w:type="dxa" w:w="1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университета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«Высшая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школа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экономики»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от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1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13.11.2015, </w:t>
            </w:r>
          </w:p>
        </w:tc>
      </w:tr>
    </w:tbl>
    <w:p>
      <w:pPr>
        <w:autoSpaceDN w:val="0"/>
        <w:autoSpaceDE w:val="0"/>
        <w:widowControl/>
        <w:spacing w:line="228" w:lineRule="auto" w:before="16" w:after="0"/>
        <w:ind w:left="236" w:right="0" w:firstLine="0"/>
        <w:jc w:val="left"/>
      </w:pPr>
      <w:r>
        <w:rPr>
          <w:w w:val="101.6774336496989"/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протокол № 10 и от 26.02.2016, протокол № 03 </w:t>
      </w:r>
    </w:p>
    <w:p>
      <w:pPr>
        <w:autoSpaceDN w:val="0"/>
        <w:autoSpaceDE w:val="0"/>
        <w:widowControl/>
        <w:spacing w:line="233" w:lineRule="auto" w:before="334" w:after="0"/>
        <w:ind w:left="2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ПРИКАЗЫВАЮ: </w:t>
      </w:r>
    </w:p>
    <w:p>
      <w:pPr>
        <w:autoSpaceDN w:val="0"/>
        <w:tabs>
          <w:tab w:pos="960" w:val="left"/>
          <w:tab w:pos="1104" w:val="left"/>
          <w:tab w:pos="1398" w:val="left"/>
          <w:tab w:pos="8448" w:val="left"/>
        </w:tabs>
        <w:autoSpaceDE w:val="0"/>
        <w:widowControl/>
        <w:spacing w:line="254" w:lineRule="auto" w:before="324" w:after="14"/>
        <w:ind w:left="226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Внести в Положение о факультете Национального исследовательского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университета «Высшая школа экономики», утвержденное ученым советом НИУ ВШЭ </w:t>
      </w:r>
      <w:r>
        <w:rPr>
          <w:w w:val="101.74084504445393"/>
          <w:rFonts w:ascii="Times New Roman" w:hAnsi="Times New Roman" w:eastAsia="Times New Roman"/>
          <w:b w:val="0"/>
          <w:i w:val="0"/>
          <w:color w:val="000000"/>
          <w:sz w:val="24"/>
        </w:rPr>
        <w:t xml:space="preserve">27.06.2014, протокол № 05, и введенное в действие приказом НИУ ВШЭ от 19.08.2014 </w:t>
      </w:r>
      <w:r>
        <w:rPr>
          <w:w w:val="101.78310076395671"/>
          <w:rFonts w:ascii="Times New Roman" w:hAnsi="Times New Roman" w:eastAsia="Times New Roman"/>
          <w:b w:val="0"/>
          <w:i w:val="0"/>
          <w:color w:val="000000"/>
          <w:sz w:val="24"/>
        </w:rPr>
        <w:t xml:space="preserve">№ 6.18.1-01/1908-03, следующие изменения: </w:t>
      </w:r>
      <w:r>
        <w:br/>
      </w:r>
      <w:r>
        <w:tab/>
      </w:r>
      <w:r>
        <w:tab/>
      </w:r>
      <w:r>
        <w:rPr>
          <w:w w:val="98.06906127929688"/>
          <w:rFonts w:ascii="Times New Roman" w:hAnsi="Times New Roman" w:eastAsia="Times New Roman"/>
          <w:b w:val="0"/>
          <w:i w:val="0"/>
          <w:color w:val="000000"/>
          <w:sz w:val="25"/>
        </w:rPr>
        <w:t xml:space="preserve">1.1. пункт 2.2 дополнить подпунктами 2.2.17 и 2.2.18 </w:t>
      </w:r>
      <w:r>
        <w:rPr>
          <w:w w:val="98.06906127929688"/>
          <w:rFonts w:ascii="Times New Roman" w:hAnsi="Times New Roman" w:eastAsia="Times New Roman"/>
          <w:b w:val="0"/>
          <w:i w:val="0"/>
          <w:color w:val="000000"/>
          <w:sz w:val="25"/>
        </w:rPr>
        <w:t xml:space="preserve">следующего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содержания: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1244"/>
        <w:gridCol w:w="1244"/>
        <w:gridCol w:w="1244"/>
        <w:gridCol w:w="1244"/>
        <w:gridCol w:w="1244"/>
        <w:gridCol w:w="1244"/>
        <w:gridCol w:w="1244"/>
        <w:gridCol w:w="1244"/>
      </w:tblGrid>
      <w:tr>
        <w:trPr>
          <w:trHeight w:hRule="exact" w:val="298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4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«2.2.17. Ведение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внеучебной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работы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студентами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работы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 </w:t>
            </w:r>
          </w:p>
        </w:tc>
      </w:tr>
    </w:tbl>
    <w:p>
      <w:pPr>
        <w:autoSpaceDN w:val="0"/>
        <w:tabs>
          <w:tab w:pos="940" w:val="left"/>
          <w:tab w:pos="1060" w:val="left"/>
          <w:tab w:pos="1108" w:val="left"/>
          <w:tab w:pos="1714" w:val="left"/>
        </w:tabs>
        <w:autoSpaceDE w:val="0"/>
        <w:widowControl/>
        <w:spacing w:line="254" w:lineRule="auto" w:before="16" w:after="16"/>
        <w:ind w:left="2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взаимодействию с выпускниками факультета и работодателями;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2.2.18. Обеспечение деятельности диссертационных советов НИУ ВШЭ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научным направлениям, соответствующим профилю деятельности факультета.»;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1.2. пункт 4.3 изложить в следующей редакции: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«4.3.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Академические советы являются совещательными органами факультета,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их состав входят научно-педагогические работники факультета, представители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244"/>
        <w:gridCol w:w="1244"/>
        <w:gridCol w:w="1244"/>
        <w:gridCol w:w="1244"/>
        <w:gridCol w:w="1244"/>
        <w:gridCol w:w="1244"/>
        <w:gridCol w:w="1244"/>
        <w:gridCol w:w="1244"/>
      </w:tblGrid>
      <w:tr>
        <w:trPr>
          <w:trHeight w:hRule="exact" w:val="298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работодателей,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выпускников,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экспертов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предметным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областям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из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других </w:t>
            </w:r>
          </w:p>
        </w:tc>
      </w:tr>
    </w:tbl>
    <w:p>
      <w:pPr>
        <w:autoSpaceDN w:val="0"/>
        <w:tabs>
          <w:tab w:pos="250" w:val="left"/>
          <w:tab w:pos="946" w:val="left"/>
          <w:tab w:pos="1108" w:val="left"/>
          <w:tab w:pos="1114" w:val="left"/>
          <w:tab w:pos="1630" w:val="left"/>
          <w:tab w:pos="2142" w:val="left"/>
          <w:tab w:pos="2258" w:val="left"/>
          <w:tab w:pos="2310" w:val="left"/>
          <w:tab w:pos="4440" w:val="left"/>
          <w:tab w:pos="5376" w:val="left"/>
          <w:tab w:pos="5754" w:val="left"/>
          <w:tab w:pos="7648" w:val="left"/>
          <w:tab w:pos="8664" w:val="left"/>
          <w:tab w:pos="9756" w:val="left"/>
        </w:tabs>
        <w:autoSpaceDE w:val="0"/>
        <w:widowControl/>
        <w:spacing w:line="257" w:lineRule="auto" w:before="16" w:after="0"/>
        <w:ind w:left="2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образовательных организаций высшего образования, в том числе зарубежных.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Возможно создание академических советов на уровне факультета в целом, отдельных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основных и ассоциированных структурных подразделений или образовательных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программ.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образовательных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программ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академические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советы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(наряду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академическим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руководителем) являются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органами академического управления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образовательной программой.»; </w:t>
      </w:r>
      <w:r>
        <w:br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1.3. исключить пункты 4.4, 4.6;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1.4. подпункт 4.13.17 изложить в следующей редакции: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«4.13.17.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решению ученого совета факультета руководит разработкой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участвует в согласовании учебных планов образовательных программ, реализуемых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факультетом, в том числе рабочих учебных планов;»; 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1.79685751597087"/>
          <w:rFonts w:ascii="Times New Roman" w:hAnsi="Times New Roman" w:eastAsia="Times New Roman"/>
          <w:b w:val="0"/>
          <w:i w:val="0"/>
          <w:color w:val="000000"/>
          <w:sz w:val="24"/>
        </w:rPr>
        <w:t xml:space="preserve">1.5. пункт 4.13 дополнить подпунктами 4.13.30 и 4.13.31 следующего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содержания: </w:t>
      </w:r>
    </w:p>
    <w:p>
      <w:pPr>
        <w:sectPr>
          <w:pgSz w:w="11909" w:h="16834"/>
          <w:pgMar w:top="1440" w:right="520" w:bottom="7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15240</wp:posOffset>
            </wp:positionH>
            <wp:positionV relativeFrom="page">
              <wp:posOffset>63500</wp:posOffset>
            </wp:positionV>
            <wp:extent cx="7538719" cy="10524382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8719" cy="10524382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</w:tblGrid>
      <w:tr>
        <w:trPr>
          <w:trHeight w:hRule="exact" w:val="274"/>
        </w:trPr>
        <w:tc>
          <w:tcPr>
            <w:tcW w:type="dxa" w:w="1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0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«4.13.30. </w:t>
            </w:r>
          </w:p>
        </w:tc>
        <w:tc>
          <w:tcPr>
            <w:tcW w:type="dxa" w:w="1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организует и </w:t>
            </w:r>
          </w:p>
        </w:tc>
        <w:tc>
          <w:tcPr>
            <w:tcW w:type="dxa" w:w="30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осуществляет контроль </w:t>
            </w:r>
          </w:p>
        </w:tc>
        <w:tc>
          <w:tcPr>
            <w:tcW w:type="dxa" w:w="2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внеучебной работы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 </w:t>
            </w:r>
          </w:p>
        </w:tc>
      </w:tr>
      <w:tr>
        <w:trPr>
          <w:trHeight w:hRule="exact" w:val="298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студентами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работы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 </w:t>
            </w:r>
          </w:p>
        </w:tc>
        <w:tc>
          <w:tcPr>
            <w:tcW w:type="dxa" w:w="2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взаимодействию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 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выпускниками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1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факультета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</w:tr>
    </w:tbl>
    <w:p>
      <w:pPr>
        <w:autoSpaceDN w:val="0"/>
        <w:autoSpaceDE w:val="0"/>
        <w:widowControl/>
        <w:spacing w:line="233" w:lineRule="auto" w:before="14" w:after="0"/>
        <w:ind w:left="29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работодателями и реализации плана мероприятий факультета по внеучебной работе </w:t>
      </w:r>
    </w:p>
    <w:p>
      <w:pPr>
        <w:autoSpaceDN w:val="0"/>
        <w:autoSpaceDE w:val="0"/>
        <w:widowControl/>
        <w:spacing w:line="233" w:lineRule="auto" w:before="26" w:after="0"/>
        <w:ind w:left="3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 студентами и работе по взаимодействию с выпускниками факультета и </w:t>
      </w:r>
    </w:p>
    <w:p>
      <w:pPr>
        <w:autoSpaceDN w:val="0"/>
        <w:autoSpaceDE w:val="0"/>
        <w:widowControl/>
        <w:spacing w:line="233" w:lineRule="auto" w:before="28" w:after="0"/>
        <w:ind w:left="2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работодателями; </w:t>
      </w:r>
    </w:p>
    <w:p>
      <w:pPr>
        <w:autoSpaceDN w:val="0"/>
        <w:tabs>
          <w:tab w:pos="2304" w:val="left"/>
        </w:tabs>
        <w:autoSpaceDE w:val="0"/>
        <w:widowControl/>
        <w:spacing w:line="233" w:lineRule="auto" w:before="50" w:after="0"/>
        <w:ind w:left="9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4.13.31.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организует работу по обеспечению деятельности диссертационных </w:t>
      </w:r>
    </w:p>
    <w:p>
      <w:pPr>
        <w:autoSpaceDN w:val="0"/>
        <w:tabs>
          <w:tab w:pos="1374" w:val="left"/>
          <w:tab w:pos="2176" w:val="left"/>
          <w:tab w:pos="3032" w:val="left"/>
          <w:tab w:pos="3558" w:val="left"/>
          <w:tab w:pos="4784" w:val="left"/>
          <w:tab w:pos="6658" w:val="left"/>
          <w:tab w:pos="8910" w:val="left"/>
        </w:tabs>
        <w:autoSpaceDE w:val="0"/>
        <w:widowControl/>
        <w:spacing w:line="233" w:lineRule="auto" w:before="28" w:after="0"/>
        <w:ind w:left="29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советов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НИУ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ВШЭ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научным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направлениям,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соответствующим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профилю </w:t>
      </w:r>
    </w:p>
    <w:p>
      <w:pPr>
        <w:autoSpaceDN w:val="0"/>
        <w:autoSpaceDE w:val="0"/>
        <w:widowControl/>
        <w:spacing w:line="233" w:lineRule="auto" w:before="26" w:after="0"/>
        <w:ind w:left="2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деятельности факультета.»; </w:t>
      </w:r>
    </w:p>
    <w:p>
      <w:pPr>
        <w:autoSpaceDN w:val="0"/>
        <w:autoSpaceDE w:val="0"/>
        <w:widowControl/>
        <w:spacing w:line="226" w:lineRule="auto" w:before="36" w:after="0"/>
        <w:ind w:left="1166" w:right="0" w:firstLine="0"/>
        <w:jc w:val="left"/>
      </w:pPr>
      <w:r>
        <w:rPr>
          <w:w w:val="98.08551025390625"/>
          <w:rFonts w:ascii="Times New Roman" w:hAnsi="Times New Roman" w:eastAsia="Times New Roman"/>
          <w:b w:val="0"/>
          <w:i w:val="0"/>
          <w:color w:val="000000"/>
          <w:sz w:val="25"/>
        </w:rPr>
        <w:t xml:space="preserve">1.6. пункт 6.15 дополнить подпунктами 6.15.19 и 6.15.20 следующего </w:t>
      </w:r>
    </w:p>
    <w:p>
      <w:pPr>
        <w:autoSpaceDN w:val="0"/>
        <w:autoSpaceDE w:val="0"/>
        <w:widowControl/>
        <w:spacing w:line="233" w:lineRule="auto" w:before="28" w:after="18"/>
        <w:ind w:left="3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содержания: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rPr>
          <w:trHeight w:hRule="exact" w:val="296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13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«6.15.19.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обеспечивает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участие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преподавателей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развитии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института </w:t>
            </w:r>
          </w:p>
        </w:tc>
      </w:tr>
    </w:tbl>
    <w:p>
      <w:pPr>
        <w:autoSpaceDN w:val="0"/>
        <w:autoSpaceDE w:val="0"/>
        <w:widowControl/>
        <w:spacing w:line="233" w:lineRule="auto" w:before="14" w:after="0"/>
        <w:ind w:left="29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кураторства внеучебных проектов студентов; </w:t>
      </w:r>
    </w:p>
    <w:p>
      <w:pPr>
        <w:autoSpaceDN w:val="0"/>
        <w:tabs>
          <w:tab w:pos="2256" w:val="left"/>
        </w:tabs>
        <w:autoSpaceDE w:val="0"/>
        <w:widowControl/>
        <w:spacing w:line="233" w:lineRule="auto" w:before="32" w:after="0"/>
        <w:ind w:left="11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6.15.20.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принимает участие в консультировании выпускников по вопросам </w:t>
      </w:r>
    </w:p>
    <w:p>
      <w:pPr>
        <w:autoSpaceDN w:val="0"/>
        <w:autoSpaceDE w:val="0"/>
        <w:widowControl/>
        <w:spacing w:line="233" w:lineRule="auto" w:before="26" w:after="0"/>
        <w:ind w:left="29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дальнейшего развития карьеры и возможностям дополнительного обучения в </w:t>
      </w:r>
    </w:p>
    <w:p>
      <w:pPr>
        <w:autoSpaceDN w:val="0"/>
        <w:autoSpaceDE w:val="0"/>
        <w:widowControl/>
        <w:spacing w:line="233" w:lineRule="auto" w:before="28" w:after="0"/>
        <w:ind w:left="29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НИУ ВШЭ.»; </w:t>
      </w:r>
    </w:p>
    <w:p>
      <w:pPr>
        <w:autoSpaceDN w:val="0"/>
        <w:autoSpaceDE w:val="0"/>
        <w:widowControl/>
        <w:spacing w:line="233" w:lineRule="auto" w:before="40" w:after="0"/>
        <w:ind w:left="11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1.7. пункт 6.17 дополнить подпунктом 6.17.9 следующего содержания: </w:t>
      </w:r>
    </w:p>
    <w:p>
      <w:pPr>
        <w:autoSpaceDN w:val="0"/>
        <w:tabs>
          <w:tab w:pos="2326" w:val="left"/>
        </w:tabs>
        <w:autoSpaceDE w:val="0"/>
        <w:widowControl/>
        <w:spacing w:line="233" w:lineRule="auto" w:before="28" w:after="0"/>
        <w:ind w:left="10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«6.17.9.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организует работу по привлечению преподавателей факультета к </w:t>
      </w:r>
    </w:p>
    <w:p>
      <w:pPr>
        <w:autoSpaceDN w:val="0"/>
        <w:autoSpaceDE w:val="0"/>
        <w:widowControl/>
        <w:spacing w:line="233" w:lineRule="auto" w:before="26" w:after="0"/>
        <w:ind w:left="29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участию во внеучебной работе со студентами и взаимодействию с выпускниками </w:t>
      </w:r>
    </w:p>
    <w:p>
      <w:pPr>
        <w:autoSpaceDN w:val="0"/>
        <w:autoSpaceDE w:val="0"/>
        <w:widowControl/>
        <w:spacing w:line="233" w:lineRule="auto" w:before="28" w:after="0"/>
        <w:ind w:left="3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факультета и работодателями.». </w:t>
      </w:r>
    </w:p>
    <w:p>
      <w:pPr>
        <w:autoSpaceDN w:val="0"/>
        <w:tabs>
          <w:tab w:pos="1742" w:val="left"/>
        </w:tabs>
        <w:autoSpaceDE w:val="0"/>
        <w:widowControl/>
        <w:spacing w:line="233" w:lineRule="auto" w:before="40" w:after="0"/>
        <w:ind w:left="10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1.8.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пункт 7.1 изложить в следующей редакции: </w:t>
      </w:r>
    </w:p>
    <w:p>
      <w:pPr>
        <w:autoSpaceDN w:val="0"/>
        <w:autoSpaceDE w:val="0"/>
        <w:widowControl/>
        <w:spacing w:line="233" w:lineRule="auto" w:before="28" w:after="0"/>
        <w:ind w:left="10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«7.1. Деятельность Школ, входящих в структуру факультета, регулируется </w:t>
      </w:r>
    </w:p>
    <w:p>
      <w:pPr>
        <w:autoSpaceDN w:val="0"/>
        <w:autoSpaceDE w:val="0"/>
        <w:widowControl/>
        <w:spacing w:line="233" w:lineRule="auto" w:before="26" w:after="980"/>
        <w:ind w:left="29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Положением, утверждаемым ученым советом НИУ ВШЭ.».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999"/>
        <w:gridCol w:w="4999"/>
      </w:tblGrid>
      <w:tr>
        <w:trPr>
          <w:trHeight w:hRule="exact" w:val="390"/>
        </w:trPr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4" w:after="0"/>
              <w:ind w:left="1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Ректор 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0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Я.И. Кузьминов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9" w:h="16834"/>
      <w:pgMar w:top="602" w:right="47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