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2265680</wp:posOffset>
            </wp:positionV>
            <wp:extent cx="6485890" cy="706685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706685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174"/>
        <w:ind w:left="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Государственная итоговая аттестация (ГИА) студентов: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организация и проведение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Навигация страницы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7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1" w:history="1">
                <w:r>
                  <w:rPr>
                    <w:rStyle w:val="Hyperlink"/>
                  </w:rPr>
                  <w:t>Главное о 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0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Хронология подготовки к 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Документы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9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752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30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FFFFFF"/>
                <w:sz w:val="31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384"/>
        </w:trPr>
        <w:tc>
          <w:tcPr>
            <w:tcW w:type="dxa" w:w="10214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4" w:history="1">
                <w:r>
                  <w:rPr>
                    <w:rStyle w:val="Hyperlink"/>
                  </w:rPr>
                  <w:t>Выпускная квалификационная работа (ВКР)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5" w:history="1">
                <w:r>
                  <w:rPr>
                    <w:rStyle w:val="Hyperlink"/>
                  </w:rPr>
                  <w:t>Апелляция 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32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6" w:history="1">
                <w:r>
                  <w:rPr>
                    <w:rStyle w:val="Hyperlink"/>
                  </w:rPr>
                  <w:t>Особенности ГИА для ОВЗ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6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7" w:history="1">
                <w:r>
                  <w:rPr>
                    <w:rStyle w:val="Hyperlink"/>
                  </w:rPr>
                  <w:t>Отчисление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586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8" w:history="1">
                <w:r>
                  <w:rPr>
                    <w:rStyle w:val="Hyperlink"/>
                  </w:rPr>
                  <w:t>Восстановление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4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19" w:history="1">
                <w:r>
                  <w:rPr>
                    <w:rStyle w:val="Hyperlink"/>
                  </w:rPr>
                  <w:t>Повторное прохождение ГИА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580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0" w:history="1">
                <w:r>
                  <w:rPr>
                    <w:rStyle w:val="Hyperlink"/>
                  </w:rPr>
                  <w:t>Сервис "Завершение обучения"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4"/>
        </w:trPr>
        <w:tc>
          <w:tcPr>
            <w:tcW w:type="dxa" w:w="6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FFFFFF"/>
                <w:sz w:val="20"/>
              </w:rPr>
              <w:hyperlink r:id="rId21" w:history="1">
                <w:r>
                  <w:rPr>
                    <w:rStyle w:val="Hyperlink"/>
                  </w:rPr>
                  <w:t>Последипломный отпуск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8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Государственная итоговая аттестация (ГИА) организуется для студентов университета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Положением о государственной итоговой аттестации студентов</w:t>
      </w:r>
    </w:p>
    <w:p>
      <w:pPr>
        <w:autoSpaceDN w:val="0"/>
        <w:autoSpaceDE w:val="0"/>
        <w:widowControl/>
        <w:spacing w:line="240" w:lineRule="auto" w:before="5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образовательных программ высшего образования – программ бакалавриата,</w:t>
      </w:r>
    </w:p>
    <w:p>
      <w:pPr>
        <w:autoSpaceDN w:val="0"/>
        <w:autoSpaceDE w:val="0"/>
        <w:widowControl/>
        <w:spacing w:line="240" w:lineRule="auto" w:before="6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специалитета и магистратуры НИУ ВШЭ, которое регламентирует порядок и правила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организации и проведения ГИА студентов образовательных программ всех форм</w:t>
      </w:r>
    </w:p>
    <w:p>
      <w:pPr>
        <w:autoSpaceDN w:val="0"/>
        <w:autoSpaceDE w:val="0"/>
        <w:widowControl/>
        <w:spacing w:line="240" w:lineRule="auto" w:before="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 НИУ ВШЭ, включая его филиалы, порядок создания и работы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9271000</wp:posOffset>
            </wp:positionV>
            <wp:extent cx="6654800" cy="1003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100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9" w:lineRule="auto" w:before="24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государственных экзаменационных комиссий (ГЭК), а также порядок и условия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допуска к ГИА студентов, восстановившихся на обучение в НИУ ВШЭ или вышедших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 отпуска, если они ранее завершили образовательную программу в полном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объеме.</w:t>
      </w:r>
    </w:p>
    <w:p>
      <w:pPr>
        <w:autoSpaceDN w:val="0"/>
        <w:autoSpaceDE w:val="0"/>
        <w:widowControl/>
        <w:spacing w:line="274" w:lineRule="auto" w:before="260" w:after="0"/>
        <w:ind w:left="304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студентов, завершающих обучение по образовательным программам,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имеющим государственную аккредитацию, ГИА является обязательной. Конкретный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перечень обязательных государственных аттестационных испытаний, входящих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состав ГИА студентов образовательной программы, определяется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образовательным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стандартом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на основании которого реализуется образовательная программа,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разделе «Требования к структуре программы».</w:t>
      </w:r>
    </w:p>
    <w:p>
      <w:pPr>
        <w:autoSpaceDN w:val="0"/>
        <w:autoSpaceDE w:val="0"/>
        <w:widowControl/>
        <w:spacing w:line="259" w:lineRule="auto" w:before="260" w:after="0"/>
        <w:ind w:left="30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ГИА может состоять из одного или нескольких государственных аттестационных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испытаний следующих видов:</w:t>
      </w:r>
    </w:p>
    <w:p>
      <w:pPr>
        <w:autoSpaceDN w:val="0"/>
        <w:autoSpaceDE w:val="0"/>
        <w:widowControl/>
        <w:spacing w:line="266" w:lineRule="auto" w:before="260" w:after="0"/>
        <w:ind w:left="90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государственный экзамен: итоговый экзамен по отдельной дисциплине;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итоговый междисциплинарный экзамен по направлению подготовки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(специальности);</w:t>
      </w:r>
    </w:p>
    <w:p>
      <w:pPr>
        <w:autoSpaceDN w:val="0"/>
        <w:autoSpaceDE w:val="0"/>
        <w:widowControl/>
        <w:spacing w:line="240" w:lineRule="auto" w:before="246" w:after="700"/>
        <w:ind w:left="904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защита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выпускной квалификационной работы (ВКР)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258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8" w:after="0"/>
              <w:ind w:left="458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Важно знать</w:t>
            </w:r>
          </w:p>
        </w:tc>
      </w:tr>
    </w:tbl>
    <w:p>
      <w:pPr>
        <w:autoSpaceDN w:val="0"/>
        <w:autoSpaceDE w:val="0"/>
        <w:widowControl/>
        <w:spacing w:line="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1010"/>
        </w:trPr>
        <w:tc>
          <w:tcPr>
            <w:tcW w:type="dxa" w:w="11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72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6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Защита 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ВКР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обязательна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4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1676400</wp:posOffset>
                  </wp:positionH>
                  <wp:positionV relativeFrom="page">
                    <wp:posOffset>6489700</wp:posOffset>
                  </wp:positionV>
                  <wp:extent cx="279400" cy="254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22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Конкретные технологии проведения государственных аттестационных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76"/>
        </w:trPr>
        <w:tc>
          <w:tcPr>
            <w:tcW w:type="dxa" w:w="924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испытаний выбирает образовательная программа</w:t>
            </w:r>
          </w:p>
        </w:tc>
      </w:tr>
      <w:tr>
        <w:trPr>
          <w:trHeight w:hRule="exact" w:val="508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50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Все заседания государственной экзаменационной комиссии 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5412"/>
        <w:gridCol w:w="5412"/>
      </w:tblGrid>
      <w:tr>
        <w:trPr>
          <w:trHeight w:hRule="exact" w:val="492"/>
        </w:trPr>
        <w:tc>
          <w:tcPr>
            <w:tcW w:type="dxa" w:w="9720"/>
            <w:gridSpan w:val="2"/>
            <w:tcBorders/>
            <w:shd w:fill="00009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апелляционной комиссии сопровождаются видеозаписью</w:t>
            </w:r>
          </w:p>
        </w:tc>
      </w:tr>
      <w:tr>
        <w:trPr>
          <w:trHeight w:hRule="exact" w:val="490"/>
        </w:trPr>
        <w:tc>
          <w:tcPr>
            <w:tcW w:type="dxa" w:w="74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80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Предоставление окончательного варианта ВКР осуществляется в виде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26" w:history="1">
                <w:r>
                  <w:rPr>
                    <w:rStyle w:val="Hyperlink"/>
                  </w:rPr>
                  <w:t>загрузки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файла в цифровую систему (без бумажного варианта)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876300</wp:posOffset>
                  </wp:positionH>
                  <wp:positionV relativeFrom="page">
                    <wp:posOffset>8356600</wp:posOffset>
                  </wp:positionV>
                  <wp:extent cx="647700" cy="254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546" w:after="0"/>
        <w:ind w:left="776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Завершение освоения образовательной программы</w:t>
      </w:r>
    </w:p>
    <w:p>
      <w:pPr>
        <w:autoSpaceDN w:val="0"/>
        <w:autoSpaceDE w:val="0"/>
        <w:widowControl/>
        <w:spacing w:line="240" w:lineRule="auto" w:before="620" w:after="0"/>
        <w:ind w:left="98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ЗАВЕРШИТЬ ОСВОЕНИЕ ОБРАЗОВАТЕЛЬНОЙ ПРОГРАММЫ</w:t>
      </w:r>
    </w:p>
    <w:p>
      <w:pPr>
        <w:autoSpaceDN w:val="0"/>
        <w:autoSpaceDE w:val="0"/>
        <w:widowControl/>
        <w:spacing w:line="240" w:lineRule="auto" w:before="290" w:after="0"/>
        <w:ind w:left="97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10210800</wp:posOffset>
            </wp:positionV>
            <wp:extent cx="190500" cy="16255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338" w:right="542" w:bottom="260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2800350</wp:posOffset>
            </wp:positionV>
            <wp:extent cx="19050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5895340</wp:posOffset>
            </wp:positionV>
            <wp:extent cx="190500" cy="190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8877300</wp:posOffset>
            </wp:positionV>
            <wp:extent cx="19050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3401060</wp:posOffset>
            </wp:positionV>
            <wp:extent cx="190500" cy="16643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6496050</wp:posOffset>
            </wp:positionV>
            <wp:extent cx="190500" cy="16643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9476740</wp:posOffset>
            </wp:positionV>
            <wp:extent cx="190500" cy="1664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4438650</wp:posOffset>
            </wp:positionV>
            <wp:extent cx="190500" cy="19203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7533640</wp:posOffset>
            </wp:positionV>
            <wp:extent cx="190500" cy="19203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04" w:right="576" w:hanging="2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361950</wp:posOffset>
            </wp:positionV>
            <wp:extent cx="190500" cy="161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29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 государственной итоговой аттестации допускаются только те студенты, которые освоили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образовательную программу в полном объеме, то есть выполнили все свои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индивидуальные учебные</w:t>
          </w:r>
        </w:hyperlink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планы (ИУП)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8"/>
        </w:rPr>
        <w:t>.</w:t>
      </w:r>
    </w:p>
    <w:p>
      <w:pPr>
        <w:autoSpaceDN w:val="0"/>
        <w:autoSpaceDE w:val="0"/>
        <w:widowControl/>
        <w:spacing w:line="245" w:lineRule="auto" w:before="944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Ознакомление с требованиями и особенностями организации и</w:t>
      </w: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проведения ГИА</w:t>
      </w:r>
    </w:p>
    <w:p>
      <w:pPr>
        <w:autoSpaceDN w:val="0"/>
        <w:autoSpaceDE w:val="0"/>
        <w:widowControl/>
        <w:spacing w:line="240" w:lineRule="auto" w:before="62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ГРАФИК ГИА</w:t>
      </w:r>
    </w:p>
    <w:p>
      <w:pPr>
        <w:autoSpaceDN w:val="0"/>
        <w:tabs>
          <w:tab w:pos="504" w:val="left"/>
        </w:tabs>
        <w:autoSpaceDE w:val="0"/>
        <w:widowControl/>
        <w:spacing w:line="300" w:lineRule="auto" w:before="292" w:after="0"/>
        <w:ind w:left="204" w:right="288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Публикуется не позднее, чем за 30 календарных дней до даты проведения первого государственного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аттестационного испытания</w:t>
      </w:r>
    </w:p>
    <w:p>
      <w:pPr>
        <w:autoSpaceDN w:val="0"/>
        <w:autoSpaceDE w:val="0"/>
        <w:widowControl/>
        <w:spacing w:line="240" w:lineRule="auto" w:before="246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Корпоративная почта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</w:t>
      </w:r>
    </w:p>
    <w:p>
      <w:pPr>
        <w:autoSpaceDN w:val="0"/>
        <w:autoSpaceDE w:val="0"/>
        <w:widowControl/>
        <w:spacing w:line="240" w:lineRule="auto" w:before="84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СОСТАВ АПЕЛЛЯЦИОННОЙ КОМИССИИ</w:t>
      </w:r>
    </w:p>
    <w:p>
      <w:pPr>
        <w:autoSpaceDN w:val="0"/>
        <w:autoSpaceDE w:val="0"/>
        <w:widowControl/>
        <w:spacing w:line="240" w:lineRule="auto" w:before="292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Публикуется и рассылается информация:</w:t>
      </w:r>
    </w:p>
    <w:p>
      <w:pPr>
        <w:autoSpaceDN w:val="0"/>
        <w:autoSpaceDE w:val="0"/>
        <w:widowControl/>
        <w:spacing w:line="240" w:lineRule="auto" w:before="172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о составе и секретаре апелляционной комиссии (включая его контактные данные);</w:t>
      </w:r>
    </w:p>
    <w:p>
      <w:pPr>
        <w:autoSpaceDN w:val="0"/>
        <w:autoSpaceDE w:val="0"/>
        <w:widowControl/>
        <w:spacing w:line="240" w:lineRule="auto" w:before="236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о порядке подачи апелляций;</w:t>
      </w:r>
    </w:p>
    <w:p>
      <w:pPr>
        <w:autoSpaceDN w:val="0"/>
        <w:autoSpaceDE w:val="0"/>
        <w:widowControl/>
        <w:spacing w:line="240" w:lineRule="auto" w:before="220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о порядке ознакомления с протоколом апелляционной комиссии.</w:t>
      </w:r>
    </w:p>
    <w:p>
      <w:pPr>
        <w:autoSpaceDN w:val="0"/>
        <w:tabs>
          <w:tab w:pos="504" w:val="left"/>
        </w:tabs>
        <w:autoSpaceDE w:val="0"/>
        <w:widowControl/>
        <w:spacing w:line="300" w:lineRule="auto" w:before="512" w:after="0"/>
        <w:ind w:left="204" w:right="288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Публикуется не позднее, чем за 30 календарных дней до даты проведения первого государственного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аттестационного испытания</w:t>
      </w:r>
    </w:p>
    <w:p>
      <w:pPr>
        <w:autoSpaceDN w:val="0"/>
        <w:autoSpaceDE w:val="0"/>
        <w:widowControl/>
        <w:spacing w:line="240" w:lineRule="auto" w:before="248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Корпоративная почта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</w:t>
      </w:r>
    </w:p>
    <w:p>
      <w:pPr>
        <w:autoSpaceDN w:val="0"/>
        <w:autoSpaceDE w:val="0"/>
        <w:widowControl/>
        <w:spacing w:line="240" w:lineRule="auto" w:before="85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ТЕХНОЛОГИИ ПРОВЕДЕНИЯ ГИА</w:t>
      </w:r>
    </w:p>
    <w:p>
      <w:pPr>
        <w:autoSpaceDN w:val="0"/>
        <w:autoSpaceDE w:val="0"/>
        <w:widowControl/>
        <w:spacing w:line="240" w:lineRule="auto" w:before="29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Публикуется и рыссылается:</w:t>
      </w:r>
    </w:p>
    <w:p>
      <w:pPr>
        <w:autoSpaceDN w:val="0"/>
        <w:autoSpaceDE w:val="0"/>
        <w:widowControl/>
        <w:spacing w:line="288" w:lineRule="auto" w:before="172" w:after="0"/>
        <w:ind w:left="490" w:right="2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информация о технологических условиях проведения каждого государственного аттестационного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испытания;</w:t>
      </w:r>
    </w:p>
    <w:p>
      <w:pPr>
        <w:autoSpaceDN w:val="0"/>
        <w:autoSpaceDE w:val="0"/>
        <w:widowControl/>
        <w:spacing w:line="240" w:lineRule="auto" w:before="232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порядок передачи ГЭК письменной работы (в случае проведения госэкзамена в письменной форме).</w:t>
      </w:r>
    </w:p>
    <w:p>
      <w:pPr>
        <w:autoSpaceDN w:val="0"/>
        <w:tabs>
          <w:tab w:pos="504" w:val="left"/>
        </w:tabs>
        <w:autoSpaceDE w:val="0"/>
        <w:widowControl/>
        <w:spacing w:line="300" w:lineRule="auto" w:before="514" w:after="0"/>
        <w:ind w:left="204" w:right="288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Публикуется не позднее, чем за 30 календарных дней до даты проведения первого государственного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аттестационного испытания</w:t>
      </w:r>
    </w:p>
    <w:p>
      <w:pPr>
        <w:autoSpaceDN w:val="0"/>
        <w:autoSpaceDE w:val="0"/>
        <w:widowControl/>
        <w:spacing w:line="240" w:lineRule="auto" w:before="246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Корпоративная почта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</w:t>
      </w:r>
    </w:p>
    <w:p>
      <w:pPr>
        <w:sectPr>
          <w:pgSz w:w="11918" w:h="16858"/>
          <w:pgMar w:top="284" w:right="1196" w:bottom="81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5485"/>
        <w:gridCol w:w="5485"/>
      </w:tblGrid>
      <w:tr>
        <w:trPr>
          <w:trHeight w:hRule="exact" w:val="1056"/>
        </w:trPr>
        <w:tc>
          <w:tcPr>
            <w:tcW w:type="dxa" w:w="10622"/>
            <w:gridSpan w:val="2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8" w:after="0"/>
              <w:ind w:left="648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СРОК ПРЕДОСТАВЛЕНИЯ ИТОГОВОГО ВАРИАНТА ВКР</w:t>
            </w:r>
          </w:p>
        </w:tc>
      </w:tr>
      <w:tr>
        <w:trPr>
          <w:trHeight w:hRule="exact" w:val="498"/>
        </w:trPr>
        <w:tc>
          <w:tcPr>
            <w:tcW w:type="dxa" w:w="93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914400</wp:posOffset>
                  </wp:positionV>
                  <wp:extent cx="190500" cy="1905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86"/>
            <w:tcBorders/>
            <w:shd w:fill="0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Публикуется и рассылается информация о сроке и порядке загрузки итогового текста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4" w:history="1">
                <w:r>
                  <w:rPr>
                    <w:rStyle w:val="Hyperlink"/>
                  </w:rPr>
                  <w:t>ВКР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, а также о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возможности, сроке и порядке загрузки презентации для защиты ВКР</w:t>
      </w:r>
    </w:p>
    <w:p>
      <w:pPr>
        <w:autoSpaceDN w:val="0"/>
        <w:autoSpaceDE w:val="0"/>
        <w:widowControl/>
        <w:spacing w:line="240" w:lineRule="auto" w:before="240" w:after="60"/>
        <w:ind w:left="9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1504950</wp:posOffset>
            </wp:positionV>
            <wp:extent cx="190500" cy="16128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28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Предоставление окончательного варианта ВКР осуществляется посредством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6" w:history="1">
          <w:r>
            <w:rPr>
              <w:rStyle w:val="Hyperlink"/>
            </w:rPr>
            <w:t>загрузки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в LMS (без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54"/>
        </w:trPr>
        <w:tc>
          <w:tcPr>
            <w:tcW w:type="dxa" w:w="9330"/>
            <w:gridSpan w:val="2"/>
            <w:tcBorders>
              <w:bottom w:sz="5.599999999999909" w:val="single" w:color="#DF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бумажного варианта)</w:t>
            </w:r>
          </w:p>
        </w:tc>
      </w:tr>
      <w:tr>
        <w:trPr>
          <w:trHeight w:hRule="exact" w:val="600"/>
        </w:trPr>
        <w:tc>
          <w:tcPr>
            <w:tcW w:type="dxa" w:w="290"/>
            <w:tcBorders>
              <w:top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2085339</wp:posOffset>
                  </wp:positionV>
                  <wp:extent cx="190500" cy="1905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40"/>
            <w:tcBorders>
              <w:top w:sz="5.599999999999909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Публикуется не позднее, чем за 30 календарных дней до даты проведения первого государственного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396"/>
        </w:trPr>
        <w:tc>
          <w:tcPr>
            <w:tcW w:type="dxa" w:w="8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аттестационного испытания</w:t>
            </w:r>
          </w:p>
        </w:tc>
      </w:tr>
      <w:tr>
        <w:trPr>
          <w:trHeight w:hRule="exact" w:val="508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2677160</wp:posOffset>
                  </wp:positionV>
                  <wp:extent cx="190500" cy="161289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1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Корпоративная почта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Сайт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7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24"/>
        </w:trPr>
        <w:tc>
          <w:tcPr>
            <w:tcW w:type="dxa" w:w="10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ВОЗМОЖНОСТЬ ПРЕДОСТАВЛЕНИЯ ПРЕЗЕНТАЦИИ</w:t>
            </w:r>
          </w:p>
        </w:tc>
      </w:tr>
      <w:tr>
        <w:trPr>
          <w:trHeight w:hRule="exact" w:val="49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3714750</wp:posOffset>
                  </wp:positionV>
                  <wp:extent cx="190500" cy="1905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Публикуется и рыссылается информация о возможности, сроках и порядке предоставления презентации /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78"/>
        </w:trPr>
        <w:tc>
          <w:tcPr>
            <w:tcW w:type="dxa" w:w="9330"/>
            <w:gridSpan w:val="2"/>
            <w:tcBorders>
              <w:bottom w:sz="6.400000000000091" w:val="single" w:color="#DFE2E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иных материалов для защиты ВКР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для предварительного ознакомления с ними членов ГЭК</w:t>
            </w:r>
          </w:p>
        </w:tc>
      </w:tr>
      <w:tr>
        <w:trPr>
          <w:trHeight w:hRule="exact" w:val="608"/>
        </w:trPr>
        <w:tc>
          <w:tcPr>
            <w:tcW w:type="dxa" w:w="290"/>
            <w:tcBorders>
              <w:top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4324350</wp:posOffset>
                  </wp:positionV>
                  <wp:extent cx="190500" cy="1905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40"/>
            <w:tcBorders>
              <w:top w:sz="6.400000000000091" w:val="single" w:color="#DFE2E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Публикуется не позднее, чем за 30 календарных дней до даты проведения первого государственного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04"/>
        </w:trPr>
        <w:tc>
          <w:tcPr>
            <w:tcW w:type="dxa" w:w="8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аттестационного испытания</w:t>
            </w:r>
          </w:p>
        </w:tc>
      </w:tr>
      <w:tr>
        <w:trPr>
          <w:trHeight w:hRule="exact" w:val="508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4925060</wp:posOffset>
                  </wp:positionV>
                  <wp:extent cx="190500" cy="161289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1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Корпоративная почта 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>–</w:t>
            </w: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Сайт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7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24"/>
        </w:trPr>
        <w:tc>
          <w:tcPr>
            <w:tcW w:type="dxa" w:w="10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РАСПРЕДЕЛЕНИЕ ПО ГРУППАМ</w:t>
            </w:r>
          </w:p>
        </w:tc>
      </w:tr>
      <w:tr>
        <w:trPr>
          <w:trHeight w:hRule="exact" w:val="508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3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5962650</wp:posOffset>
                  </wp:positionV>
                  <wp:extent cx="190500" cy="1905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Распределение по группам для сдачи испытаний публикуется не позднее, чем за 15 календарных дней до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12"/>
        </w:trPr>
        <w:tc>
          <w:tcPr>
            <w:tcW w:type="dxa" w:w="71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дня проведения первого испытания</w:t>
            </w:r>
          </w:p>
        </w:tc>
      </w:tr>
      <w:tr>
        <w:trPr>
          <w:trHeight w:hRule="exact" w:val="48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6553200</wp:posOffset>
                  </wp:positionV>
                  <wp:extent cx="190500" cy="16255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2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Сайт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38"/>
        </w:trPr>
        <w:tc>
          <w:tcPr>
            <w:tcW w:type="dxa" w:w="9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ИНФОРМАЦИЯ О ГЭК</w:t>
            </w:r>
          </w:p>
        </w:tc>
      </w:tr>
      <w:tr>
        <w:trPr>
          <w:trHeight w:hRule="exact" w:val="50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7592059</wp:posOffset>
                  </wp:positionV>
                  <wp:extent cx="190500" cy="1905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Публикуется информация о председателе государственной экзаменационной комиссии (ГЭК), списки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5485"/>
        <w:gridCol w:w="5485"/>
      </w:tblGrid>
      <w:tr>
        <w:trPr>
          <w:trHeight w:hRule="exact" w:val="352"/>
        </w:trPr>
        <w:tc>
          <w:tcPr>
            <w:tcW w:type="dxa" w:w="9330"/>
            <w:gridSpan w:val="2"/>
            <w:tcBorders>
              <w:bottom w:sz="6.399999999999636" w:val="single" w:color="#DFE2E2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членов локальных ГЭК, а также секретарей локальных ГЭК</w:t>
            </w:r>
          </w:p>
        </w:tc>
      </w:tr>
      <w:tr>
        <w:trPr>
          <w:trHeight w:hRule="exact" w:val="668"/>
        </w:trPr>
        <w:tc>
          <w:tcPr>
            <w:tcW w:type="dxa" w:w="290"/>
            <w:tcBorders>
              <w:top w:sz="6.399999999999636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8201659</wp:posOffset>
                  </wp:positionV>
                  <wp:extent cx="190500" cy="1905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40"/>
            <w:tcBorders>
              <w:top w:sz="6.399999999999636" w:val="single" w:color="#DFE2E2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Не позднее, чем за 15 календарных дней до дня проведения первого испытания</w:t>
            </w:r>
          </w:p>
        </w:tc>
      </w:tr>
      <w:tr>
        <w:trPr>
          <w:trHeight w:hRule="exact" w:val="480"/>
        </w:trPr>
        <w:tc>
          <w:tcPr>
            <w:tcW w:type="dxa" w:w="2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8572500</wp:posOffset>
                  </wp:positionV>
                  <wp:extent cx="190500" cy="162559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2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Сайт образовательной программы</w:t>
            </w:r>
          </w:p>
        </w:tc>
      </w:tr>
    </w:tbl>
    <w:p>
      <w:pPr>
        <w:autoSpaceDN w:val="0"/>
        <w:autoSpaceDE w:val="0"/>
        <w:widowControl/>
        <w:spacing w:line="7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38"/>
        </w:trPr>
        <w:tc>
          <w:tcPr>
            <w:tcW w:type="dxa" w:w="8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ДОПОЛНИТЕЛЬНЫЕ ПРАВИЛА И ИНФОРМАЦИЯ</w:t>
            </w:r>
          </w:p>
        </w:tc>
      </w:tr>
      <w:tr>
        <w:trPr>
          <w:trHeight w:hRule="exact" w:val="48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9611360</wp:posOffset>
                  </wp:positionV>
                  <wp:extent cx="190500" cy="1905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Публикуются и рассылаются: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142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2085339</wp:posOffset>
            </wp:positionV>
            <wp:extent cx="190500" cy="16643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3962400</wp:posOffset>
            </wp:positionV>
            <wp:extent cx="190500" cy="16643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5962650</wp:posOffset>
            </wp:positionV>
            <wp:extent cx="190500" cy="16643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64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7706359</wp:posOffset>
            </wp:positionV>
            <wp:extent cx="190500" cy="19203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3020060</wp:posOffset>
            </wp:positionV>
            <wp:extent cx="190500" cy="161925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5010150</wp:posOffset>
            </wp:positionV>
            <wp:extent cx="190500" cy="161925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8420100</wp:posOffset>
            </wp:positionV>
            <wp:extent cx="190500" cy="16192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8763000</wp:posOffset>
            </wp:positionV>
            <wp:extent cx="190500" cy="16192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19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1714500</wp:posOffset>
            </wp:positionV>
            <wp:extent cx="190500" cy="190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3371850</wp:posOffset>
            </wp:positionV>
            <wp:extent cx="190500" cy="190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5590540</wp:posOffset>
            </wp:positionV>
            <wp:extent cx="190500" cy="1905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9105900</wp:posOffset>
            </wp:positionV>
            <wp:extent cx="190500" cy="190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8087359</wp:posOffset>
            </wp:positionV>
            <wp:extent cx="190500" cy="15351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3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5" w:lineRule="auto" w:before="0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дополнительные правила проведения государственных испытаний и апелляций, включая проведение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испытаний с использованием процедуры прокторинга;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порядок идентификации личности;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порядок действий в случае возникновения технических проблем. </w:t>
      </w:r>
    </w:p>
    <w:p>
      <w:pPr>
        <w:autoSpaceDN w:val="0"/>
        <w:autoSpaceDE w:val="0"/>
        <w:widowControl/>
        <w:spacing w:line="348" w:lineRule="auto" w:before="514" w:after="0"/>
        <w:ind w:left="504" w:right="360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Не позднее, чем за 10 календарных дней до начала испытаний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Корпоративная почта 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 </w:t>
      </w:r>
    </w:p>
    <w:p>
      <w:pPr>
        <w:autoSpaceDN w:val="0"/>
        <w:tabs>
          <w:tab w:pos="504" w:val="left"/>
        </w:tabs>
        <w:autoSpaceDE w:val="0"/>
        <w:widowControl/>
        <w:spacing w:line="360" w:lineRule="auto" w:before="668" w:after="0"/>
        <w:ind w:left="204" w:right="144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ПРИМЕНЕНИЕ ВИДЕОЗАПИСИ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Для обеспечения прозрачности ГИА в обязательном порядке применяется видеозапись.</w:t>
      </w:r>
    </w:p>
    <w:p>
      <w:pPr>
        <w:autoSpaceDN w:val="0"/>
        <w:tabs>
          <w:tab w:pos="504" w:val="left"/>
        </w:tabs>
        <w:autoSpaceDE w:val="0"/>
        <w:widowControl/>
        <w:spacing w:line="374" w:lineRule="auto" w:before="360" w:after="0"/>
        <w:ind w:left="204" w:right="288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Информация об обязательном применении видеозаписи публикуется не позднее двух рабочих дней,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предшествующих испытанию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</w:t>
      </w:r>
    </w:p>
    <w:p>
      <w:pPr>
        <w:autoSpaceDN w:val="0"/>
        <w:tabs>
          <w:tab w:pos="504" w:val="left"/>
        </w:tabs>
        <w:autoSpaceDE w:val="0"/>
        <w:widowControl/>
        <w:spacing w:line="360" w:lineRule="auto" w:before="862" w:after="0"/>
        <w:ind w:left="204" w:right="576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РАСПРЕДЕЛЕНИЕ СТУДЕНТОВ ПО ВРЕМЕНИ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Образовательная программа может составить график распредения студентов по времени начала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государственного экзамена / защиты ВКР.</w:t>
      </w:r>
    </w:p>
    <w:p>
      <w:pPr>
        <w:autoSpaceDN w:val="0"/>
        <w:tabs>
          <w:tab w:pos="552" w:val="left"/>
        </w:tabs>
        <w:autoSpaceDE w:val="0"/>
        <w:widowControl/>
        <w:spacing w:line="391" w:lineRule="auto" w:before="360" w:after="0"/>
        <w:ind w:left="504" w:right="144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Информация публикуется не позднее двух рабочих дней, предшествующих испытанию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Сайт образовательной программы</w:t>
      </w:r>
    </w:p>
    <w:p>
      <w:pPr>
        <w:autoSpaceDN w:val="0"/>
        <w:autoSpaceDE w:val="0"/>
        <w:widowControl/>
        <w:spacing w:line="240" w:lineRule="auto" w:before="944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Загрузка ВКР и презентации</w:t>
      </w:r>
    </w:p>
    <w:p>
      <w:pPr>
        <w:autoSpaceDN w:val="0"/>
        <w:tabs>
          <w:tab w:pos="504" w:val="left"/>
          <w:tab w:pos="554" w:val="left"/>
          <w:tab w:pos="566" w:val="left"/>
        </w:tabs>
        <w:autoSpaceDE w:val="0"/>
        <w:widowControl/>
        <w:spacing w:line="470" w:lineRule="auto" w:before="62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1. ЗАГРУЗИТЬ ВКР</w:t>
      </w:r>
      <w:r>
        <w:br/>
      </w:r>
      <w:r>
        <w:tab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Загрузить итоговый вариант ВКР в LMS в установленный срок</w:t>
      </w:r>
      <w:r>
        <w:br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6" w:history="1">
          <w:r>
            <w:rPr>
              <w:rStyle w:val="Hyperlink"/>
            </w:rPr>
            <w:t>Инструкция по загрузке ВКР</w:t>
          </w:r>
        </w:hyperlink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Представление бумажного варианта, отзыва руководителя и листа из системы "Антиплагиат"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не требуется</w:t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Студенты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не выполнившие дедлайн по загрузке ВКР, подлежат отчислению за непрохождение ГИА</w:t>
      </w:r>
    </w:p>
    <w:p>
      <w:pPr>
        <w:autoSpaceDN w:val="0"/>
        <w:tabs>
          <w:tab w:pos="504" w:val="left"/>
        </w:tabs>
        <w:autoSpaceDE w:val="0"/>
        <w:widowControl/>
        <w:spacing w:line="300" w:lineRule="auto" w:before="346" w:after="0"/>
        <w:ind w:left="204" w:right="0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Срок загрузки утверждается приказом о проведении ГИА, но не позднее 7 рабочих дней до даты защиты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ВКР</w:t>
      </w:r>
    </w:p>
    <w:p>
      <w:pPr>
        <w:sectPr>
          <w:pgSz w:w="11918" w:h="16858"/>
          <w:pgMar w:top="288" w:right="1186" w:bottom="906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914400</wp:posOffset>
            </wp:positionV>
            <wp:extent cx="190500" cy="192036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2352040</wp:posOffset>
            </wp:positionV>
            <wp:extent cx="190500" cy="19203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6868159</wp:posOffset>
            </wp:positionV>
            <wp:extent cx="190500" cy="19203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7228840</wp:posOffset>
            </wp:positionV>
            <wp:extent cx="190500" cy="19203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7592059</wp:posOffset>
            </wp:positionV>
            <wp:extent cx="190500" cy="19203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2724150</wp:posOffset>
            </wp:positionV>
            <wp:extent cx="190500" cy="16227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7962900</wp:posOffset>
            </wp:positionV>
            <wp:extent cx="190500" cy="16227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8305800</wp:posOffset>
            </wp:positionV>
            <wp:extent cx="190500" cy="16227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1285240</wp:posOffset>
            </wp:positionV>
            <wp:extent cx="190500" cy="1905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3075940</wp:posOffset>
            </wp:positionV>
            <wp:extent cx="190500" cy="1905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5438140</wp:posOffset>
            </wp:positionV>
            <wp:extent cx="190500" cy="1905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5801360</wp:posOffset>
            </wp:positionV>
            <wp:extent cx="190500" cy="1905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8877300</wp:posOffset>
            </wp:positionV>
            <wp:extent cx="190500" cy="1905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9239250</wp:posOffset>
            </wp:positionV>
            <wp:extent cx="190500" cy="1905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4866640</wp:posOffset>
            </wp:positionV>
            <wp:extent cx="190500" cy="15351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53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04" w:val="left"/>
        </w:tabs>
        <w:autoSpaceDE w:val="0"/>
        <w:widowControl/>
        <w:spacing w:line="379" w:lineRule="auto" w:before="0" w:after="0"/>
        <w:ind w:left="204" w:right="4176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2. ОЗНАКОМИТЬСЯ С ОТЗЫВОМ И РЕЦЕНЗИЕЙ</w:t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Отзыв и рецензия на ВКР будут доступны в системе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LMS</w:t>
          </w:r>
        </w:hyperlink>
      </w:r>
    </w:p>
    <w:p>
      <w:pPr>
        <w:autoSpaceDN w:val="0"/>
        <w:autoSpaceDE w:val="0"/>
        <w:widowControl/>
        <w:spacing w:line="240" w:lineRule="auto" w:before="344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Не позднее чем за 5 календарных дней до дня защиты ВКР</w:t>
      </w:r>
    </w:p>
    <w:p>
      <w:pPr>
        <w:autoSpaceDN w:val="0"/>
        <w:tabs>
          <w:tab w:pos="504" w:val="left"/>
          <w:tab w:pos="602" w:val="left"/>
        </w:tabs>
        <w:autoSpaceDE w:val="0"/>
        <w:widowControl/>
        <w:spacing w:line="425" w:lineRule="auto" w:before="862" w:after="0"/>
        <w:ind w:left="204" w:right="432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3. ЗАГРУЗИТЬ ПРЕЗЕНТАЦИЮ ДЛЯ ЗАЩИТЫ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Загрузить презентацию к защите ВКР в систему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LMS</w:t>
          </w:r>
        </w:hyperlink>
      </w:r>
      <w:r>
        <w:br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Информация о возможности, сроке и порядке загрузки презентации направляется менеджером ОП</w:t>
      </w:r>
    </w:p>
    <w:p>
      <w:pPr>
        <w:autoSpaceDN w:val="0"/>
        <w:autoSpaceDE w:val="0"/>
        <w:widowControl/>
        <w:spacing w:line="240" w:lineRule="auto" w:before="36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Срок загрузки установлен образовательной программой</w:t>
      </w:r>
    </w:p>
    <w:p>
      <w:pPr>
        <w:autoSpaceDN w:val="0"/>
        <w:autoSpaceDE w:val="0"/>
        <w:widowControl/>
        <w:spacing w:line="240" w:lineRule="auto" w:before="944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Проведение государственных аттестационных испытаний</w:t>
      </w:r>
    </w:p>
    <w:p>
      <w:pPr>
        <w:autoSpaceDN w:val="0"/>
        <w:tabs>
          <w:tab w:pos="504" w:val="left"/>
        </w:tabs>
        <w:autoSpaceDE w:val="0"/>
        <w:widowControl/>
        <w:spacing w:line="406" w:lineRule="auto" w:before="62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1. СДАТЬ ГОСУДАРСТВЕННЫЙ ЭКЗАМЕН (ПРИ ЕГО НАЛИЧИИ)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Конкретный формат определяется в Программе проведения государственного экзамена. Его можно найти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на сайте ОП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Государственный экзамен проводится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устно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на подготовку к ответу предосталяется не менее 45 минут</w:t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Государственный экзамен проводится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письменно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на экзамен выделяется до 6 академических часов</w:t>
      </w:r>
    </w:p>
    <w:p>
      <w:pPr>
        <w:autoSpaceDN w:val="0"/>
        <w:tabs>
          <w:tab w:pos="504" w:val="left"/>
        </w:tabs>
        <w:autoSpaceDE w:val="0"/>
        <w:widowControl/>
        <w:spacing w:line="372" w:lineRule="auto" w:before="850" w:after="0"/>
        <w:ind w:left="204" w:right="4608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2. ЗАЩИТИТЬ ВКР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Защита начинается с доклада студента по теме ВКР.</w:t>
      </w:r>
    </w:p>
    <w:p>
      <w:pPr>
        <w:autoSpaceDN w:val="0"/>
        <w:autoSpaceDE w:val="0"/>
        <w:widowControl/>
        <w:spacing w:line="240" w:lineRule="auto" w:before="33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Нужно излагать основное содержание ВКР свободно, не читая текста. </w:t>
      </w:r>
    </w:p>
    <w:p>
      <w:pPr>
        <w:autoSpaceDN w:val="0"/>
        <w:tabs>
          <w:tab w:pos="504" w:val="left"/>
          <w:tab w:pos="554" w:val="left"/>
        </w:tabs>
        <w:autoSpaceDE w:val="0"/>
        <w:widowControl/>
        <w:spacing w:line="391" w:lineRule="auto" w:before="330" w:after="0"/>
        <w:ind w:left="204" w:right="288" w:firstLine="0"/>
        <w:jc w:val="left"/>
      </w:pP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Можно использовать презентацию, подготовленный наглядный материал (таблицы, схемы и т.д.)</w:t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ВКР, отзыв, рецензия и материалы к защите доступны членам и секретарю ГЭК заранее в системе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LMS</w:t>
          </w:r>
        </w:hyperlink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Формула расчета итоговой оценки не предусмотрена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.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Комиссия принимает решение об оценке путем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голосования, ориентируясь на материалы и выступление. </w:t>
      </w:r>
    </w:p>
    <w:p>
      <w:pPr>
        <w:autoSpaceDN w:val="0"/>
        <w:autoSpaceDE w:val="0"/>
        <w:widowControl/>
        <w:spacing w:line="343" w:lineRule="auto" w:before="306" w:after="0"/>
        <w:ind w:left="504" w:right="388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Доклад по ВКР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бакалавра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не менее 15 минут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Доклад по ВКР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специалиста/магистра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не менее 20 минут</w:t>
      </w:r>
    </w:p>
    <w:p>
      <w:pPr>
        <w:autoSpaceDN w:val="0"/>
        <w:autoSpaceDE w:val="0"/>
        <w:widowControl/>
        <w:spacing w:line="240" w:lineRule="auto" w:before="848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3. ОЗНАКОМИТЬСЯ С РЕЗУЛЬТАТАМИ</w:t>
      </w:r>
    </w:p>
    <w:p>
      <w:pPr>
        <w:autoSpaceDN w:val="0"/>
        <w:autoSpaceDE w:val="0"/>
        <w:widowControl/>
        <w:spacing w:line="240" w:lineRule="auto" w:before="20" w:after="0"/>
        <w:ind w:left="2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10200640</wp:posOffset>
            </wp:positionV>
            <wp:extent cx="190500" cy="1905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18" w:h="16858"/>
          <w:pgMar w:top="476" w:right="1116" w:bottom="246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3448050</wp:posOffset>
            </wp:positionV>
            <wp:extent cx="190500" cy="1905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4895850</wp:posOffset>
            </wp:positionV>
            <wp:extent cx="190500" cy="1905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7914640</wp:posOffset>
            </wp:positionV>
            <wp:extent cx="190500" cy="162278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8486140</wp:posOffset>
            </wp:positionV>
            <wp:extent cx="190500" cy="162278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952500</wp:posOffset>
            </wp:positionV>
            <wp:extent cx="190500" cy="1905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1314450</wp:posOffset>
            </wp:positionV>
            <wp:extent cx="190500" cy="1905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3829050</wp:posOffset>
            </wp:positionV>
            <wp:extent cx="190500" cy="1905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9067800</wp:posOffset>
            </wp:positionV>
            <wp:extent cx="190500" cy="1905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8552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85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0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353060</wp:posOffset>
            </wp:positionV>
            <wp:extent cx="190500" cy="19049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49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Для объявления результатов используются корпоративная электронная почта, система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LMS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 иные</w:t>
      </w:r>
    </w:p>
    <w:p>
      <w:pPr>
        <w:autoSpaceDN w:val="0"/>
        <w:autoSpaceDE w:val="0"/>
        <w:widowControl/>
        <w:spacing w:line="240" w:lineRule="auto" w:before="106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электронные средства передачи информации</w:t>
      </w:r>
    </w:p>
    <w:p>
      <w:pPr>
        <w:autoSpaceDN w:val="0"/>
        <w:autoSpaceDE w:val="0"/>
        <w:widowControl/>
        <w:spacing w:line="240" w:lineRule="auto" w:before="306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Испытания в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устной форме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в день проведения испытания</w:t>
      </w:r>
    </w:p>
    <w:p>
      <w:pPr>
        <w:autoSpaceDN w:val="0"/>
        <w:autoSpaceDE w:val="0"/>
        <w:widowControl/>
        <w:spacing w:line="240" w:lineRule="auto" w:before="264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Испытания в </w:t>
      </w:r>
      <w:r>
        <w:rPr>
          <w:rFonts w:ascii="Segoe UI Semibold" w:hAnsi="Segoe UI Semibold" w:eastAsia="Segoe UI Semibold"/>
          <w:b/>
          <w:i w:val="0"/>
          <w:color w:val="000000"/>
          <w:sz w:val="18"/>
        </w:rPr>
        <w:t>письменной форме</w:t>
      </w:r>
      <w:r>
        <w:rPr>
          <w:rFonts w:ascii="Segoe UI" w:hAnsi="Segoe UI" w:eastAsia="Segoe UI"/>
          <w:b w:val="0"/>
          <w:i w:val="0"/>
          <w:color w:val="000000"/>
          <w:sz w:val="23"/>
        </w:rPr>
        <w:t>–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не позднее следующего рабочего дня после проведения испытания</w:t>
      </w:r>
    </w:p>
    <w:p>
      <w:pPr>
        <w:autoSpaceDN w:val="0"/>
        <w:autoSpaceDE w:val="0"/>
        <w:widowControl/>
        <w:spacing w:line="240" w:lineRule="auto" w:before="1112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Уважительные причины неявки на государственное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аттестационное испытание</w:t>
      </w:r>
    </w:p>
    <w:p>
      <w:pPr>
        <w:autoSpaceDN w:val="0"/>
        <w:autoSpaceDE w:val="0"/>
        <w:widowControl/>
        <w:spacing w:line="240" w:lineRule="auto" w:before="62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БОЛЕЗНЬ</w:t>
      </w:r>
    </w:p>
    <w:p>
      <w:pPr>
        <w:autoSpaceDN w:val="0"/>
        <w:autoSpaceDE w:val="0"/>
        <w:widowControl/>
        <w:spacing w:line="240" w:lineRule="auto" w:before="292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Болезнь нужно подтвердить медицинской справкой установленного образца</w:t>
      </w:r>
    </w:p>
    <w:p>
      <w:pPr>
        <w:autoSpaceDN w:val="0"/>
        <w:autoSpaceDE w:val="0"/>
        <w:widowControl/>
        <w:spacing w:line="240" w:lineRule="auto" w:before="36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Медицинская справка должна быть предъявлена для верификации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установленным образом</w:t>
          </w:r>
        </w:hyperlink>
      </w:r>
    </w:p>
    <w:p>
      <w:pPr>
        <w:autoSpaceDN w:val="0"/>
        <w:autoSpaceDE w:val="0"/>
        <w:widowControl/>
        <w:spacing w:line="240" w:lineRule="auto" w:before="860" w:after="0"/>
        <w:ind w:left="204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ИНЫЕ ИСКЛЮЧИТЕЛЬНЫЕ ПРИЧИНЫ</w:t>
      </w:r>
    </w:p>
    <w:p>
      <w:pPr>
        <w:autoSpaceDN w:val="0"/>
        <w:autoSpaceDE w:val="0"/>
        <w:widowControl/>
        <w:spacing w:line="240" w:lineRule="auto" w:before="292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К иным исключительным причинам, которые объективно препятствовали студенту явиться на</w:t>
      </w:r>
    </w:p>
    <w:p>
      <w:pPr>
        <w:autoSpaceDN w:val="0"/>
        <w:autoSpaceDE w:val="0"/>
        <w:widowControl/>
        <w:spacing w:line="240" w:lineRule="auto" w:before="120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государственное аттестационное испытание, относятся:</w:t>
      </w:r>
    </w:p>
    <w:p>
      <w:pPr>
        <w:autoSpaceDN w:val="0"/>
        <w:autoSpaceDE w:val="0"/>
        <w:widowControl/>
        <w:spacing w:line="240" w:lineRule="auto" w:before="172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индивидуальный учебный план студента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8"/>
        </w:rPr>
        <w:t>, которому перенесены сроки подготовки и (или) защиты ВКР на</w:t>
      </w:r>
    </w:p>
    <w:p>
      <w:pPr>
        <w:autoSpaceDN w:val="0"/>
        <w:autoSpaceDE w:val="0"/>
        <w:widowControl/>
        <w:spacing w:line="240" w:lineRule="auto" w:before="108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следующий учебный год;</w:t>
      </w:r>
    </w:p>
    <w:p>
      <w:pPr>
        <w:autoSpaceDN w:val="0"/>
        <w:autoSpaceDE w:val="0"/>
        <w:widowControl/>
        <w:spacing w:line="240" w:lineRule="auto" w:before="232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болезнь или смерть близких родственников;</w:t>
      </w:r>
    </w:p>
    <w:p>
      <w:pPr>
        <w:autoSpaceDN w:val="0"/>
        <w:autoSpaceDE w:val="0"/>
        <w:widowControl/>
        <w:spacing w:line="240" w:lineRule="auto" w:before="220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исполнение общественных / государственных обязанностей;</w:t>
      </w:r>
    </w:p>
    <w:p>
      <w:pPr>
        <w:autoSpaceDN w:val="0"/>
        <w:autoSpaceDE w:val="0"/>
        <w:widowControl/>
        <w:spacing w:line="240" w:lineRule="auto" w:before="220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вызов в правоохранительные органы / суд;</w:t>
      </w:r>
    </w:p>
    <w:p>
      <w:pPr>
        <w:autoSpaceDN w:val="0"/>
        <w:autoSpaceDE w:val="0"/>
        <w:widowControl/>
        <w:spacing w:line="240" w:lineRule="auto" w:before="234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транспортные проблемы (отмена рейсов / отсутствие билетов);</w:t>
      </w:r>
    </w:p>
    <w:p>
      <w:pPr>
        <w:autoSpaceDN w:val="0"/>
        <w:autoSpaceDE w:val="0"/>
        <w:widowControl/>
        <w:spacing w:line="240" w:lineRule="auto" w:before="220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 xml:space="preserve">— </w:t>
      </w:r>
      <w:r>
        <w:rPr>
          <w:rFonts w:ascii="Segoe UI" w:hAnsi="Segoe UI" w:eastAsia="Segoe UI"/>
          <w:b w:val="0"/>
          <w:i w:val="0"/>
          <w:color w:val="000000"/>
          <w:sz w:val="18"/>
        </w:rPr>
        <w:t>форс-мажорные обстоятельства, включая наличие (возникновение в процессе проведения</w:t>
      </w:r>
    </w:p>
    <w:p>
      <w:pPr>
        <w:autoSpaceDN w:val="0"/>
        <w:autoSpaceDE w:val="0"/>
        <w:widowControl/>
        <w:spacing w:line="240" w:lineRule="auto" w:before="94" w:after="0"/>
        <w:ind w:left="49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государственного аттестационного испытания) технических проблем.</w:t>
      </w:r>
    </w:p>
    <w:p>
      <w:pPr>
        <w:autoSpaceDN w:val="0"/>
        <w:autoSpaceDE w:val="0"/>
        <w:widowControl/>
        <w:spacing w:line="240" w:lineRule="auto" w:before="300" w:after="0"/>
        <w:ind w:left="55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К уважительным причинам не относится отсутствие студента, вызванное обстоятельствами, связанными с</w:t>
      </w:r>
    </w:p>
    <w:p>
      <w:pPr>
        <w:autoSpaceDN w:val="0"/>
        <w:autoSpaceDE w:val="0"/>
        <w:widowControl/>
        <w:spacing w:line="240" w:lineRule="auto" w:before="120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работой студента</w:t>
      </w:r>
    </w:p>
    <w:p>
      <w:pPr>
        <w:autoSpaceDN w:val="0"/>
        <w:autoSpaceDE w:val="0"/>
        <w:widowControl/>
        <w:spacing w:line="240" w:lineRule="auto" w:before="300" w:after="0"/>
        <w:ind w:left="55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Решение о признании причины отсутствия уважительной принимает декан факультета по согласованию с</w:t>
      </w:r>
    </w:p>
    <w:p>
      <w:pPr>
        <w:autoSpaceDN w:val="0"/>
        <w:autoSpaceDE w:val="0"/>
        <w:widowControl/>
        <w:spacing w:line="240" w:lineRule="auto" w:before="120" w:after="0"/>
        <w:ind w:left="2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>академическим руководителем образовательной программы</w:t>
      </w:r>
    </w:p>
    <w:p>
      <w:pPr>
        <w:autoSpaceDN w:val="0"/>
        <w:autoSpaceDE w:val="0"/>
        <w:widowControl/>
        <w:spacing w:line="240" w:lineRule="auto" w:before="36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Доказательства, подтвержденные документально, должны быть предъявлены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установленным образом</w:t>
          </w:r>
        </w:hyperlink>
      </w:r>
    </w:p>
    <w:p>
      <w:pPr>
        <w:autoSpaceDN w:val="0"/>
        <w:autoSpaceDE w:val="0"/>
        <w:widowControl/>
        <w:spacing w:line="240" w:lineRule="auto" w:before="944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Если решили подать апелляцию</w:t>
      </w:r>
    </w:p>
    <w:p>
      <w:pPr>
        <w:sectPr>
          <w:pgSz w:w="11918" w:h="16858"/>
          <w:pgMar w:top="278" w:right="1032" w:bottom="44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8.00000000000006" w:type="dxa"/>
      </w:tblPr>
      <w:tblGrid>
        <w:gridCol w:w="3657"/>
        <w:gridCol w:w="3657"/>
        <w:gridCol w:w="3657"/>
      </w:tblGrid>
      <w:tr>
        <w:trPr>
          <w:trHeight w:hRule="exact" w:val="1060"/>
        </w:trPr>
        <w:tc>
          <w:tcPr>
            <w:tcW w:type="dxa" w:w="10622"/>
            <w:gridSpan w:val="3"/>
            <w:tcBorders/>
            <w:shd w:fill="0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2" w:after="0"/>
              <w:ind w:left="648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1. ОЗНАКОМИТЬСЯ С ОСНОВАНИЯМИ ДЛЯ АПЕЛЛЯЦИИ</w:t>
            </w:r>
          </w:p>
        </w:tc>
      </w:tr>
      <w:tr>
        <w:trPr>
          <w:trHeight w:hRule="exact" w:val="520"/>
        </w:trPr>
        <w:tc>
          <w:tcPr>
            <w:tcW w:type="dxa" w:w="9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0" w:right="3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1038860</wp:posOffset>
                  </wp:positionV>
                  <wp:extent cx="190500" cy="190500"/>
                  <wp:wrapNone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64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34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Основаниями для апелляции могут являться:</w:t>
            </w:r>
          </w:p>
        </w:tc>
      </w:tr>
      <w:tr>
        <w:trPr>
          <w:trHeight w:hRule="exact" w:val="452"/>
        </w:trPr>
        <w:tc>
          <w:tcPr>
            <w:tcW w:type="dxa" w:w="121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94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нарушение, по мнению студента, установленной процедуры проведения государственного экзамена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5485"/>
        <w:gridCol w:w="5485"/>
      </w:tblGrid>
      <w:tr>
        <w:trPr>
          <w:trHeight w:hRule="exact" w:val="414"/>
        </w:trPr>
        <w:tc>
          <w:tcPr>
            <w:tcW w:type="dxa" w:w="94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или защиты ВКР</w:t>
            </w:r>
          </w:p>
        </w:tc>
      </w:tr>
      <w:tr>
        <w:trPr>
          <w:trHeight w:hRule="exact" w:val="482"/>
        </w:trPr>
        <w:tc>
          <w:tcPr>
            <w:tcW w:type="dxa" w:w="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8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несогласие студента с результатами государственного экзамена (не относится к защите ВКР)</w:t>
            </w:r>
          </w:p>
        </w:tc>
      </w:tr>
    </w:tbl>
    <w:p>
      <w:pPr>
        <w:autoSpaceDN w:val="0"/>
        <w:autoSpaceDE w:val="0"/>
        <w:widowControl/>
        <w:spacing w:line="7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28"/>
        </w:trPr>
        <w:tc>
          <w:tcPr>
            <w:tcW w:type="dxa" w:w="9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2. ПОДАТЬ ЗАЯВЛЕНИЕ НА АПЕЛЛЯЦИЮ</w:t>
            </w:r>
          </w:p>
        </w:tc>
      </w:tr>
      <w:tr>
        <w:trPr>
          <w:trHeight w:hRule="exact" w:val="51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2961640</wp:posOffset>
                  </wp:positionV>
                  <wp:extent cx="190500" cy="190500"/>
                  <wp:wrapNone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Заявление подается исключительно по электронной почте секретарю апелляционной комиссии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3657"/>
        <w:gridCol w:w="3657"/>
        <w:gridCol w:w="3657"/>
      </w:tblGrid>
      <w:tr>
        <w:trPr>
          <w:trHeight w:hRule="exact" w:val="390"/>
        </w:trPr>
        <w:tc>
          <w:tcPr>
            <w:tcW w:type="dxa" w:w="86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Заявление может быть в виде:</w:t>
            </w:r>
          </w:p>
        </w:tc>
      </w:tr>
      <w:tr>
        <w:trPr>
          <w:trHeight w:hRule="exact" w:val="500"/>
        </w:trPr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7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скана/фото подписанного заявления;</w:t>
            </w:r>
          </w:p>
        </w:tc>
      </w:tr>
      <w:tr>
        <w:trPr>
          <w:trHeight w:hRule="exact" w:val="540"/>
        </w:trPr>
        <w:tc>
          <w:tcPr>
            <w:tcW w:type="dxa" w:w="1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23"/>
              </w:rPr>
              <w:t xml:space="preserve">— </w:t>
            </w:r>
          </w:p>
        </w:tc>
        <w:tc>
          <w:tcPr>
            <w:tcW w:type="dxa" w:w="7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электронного письма.</w:t>
            </w:r>
          </w:p>
        </w:tc>
      </w:tr>
      <w:tr>
        <w:trPr>
          <w:trHeight w:hRule="exact" w:val="54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4315460</wp:posOffset>
                  </wp:positionV>
                  <wp:extent cx="190500" cy="161289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1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Почта секретаря АК в обязательном порядке размещается на сайте ОП </w:t>
            </w:r>
          </w:p>
        </w:tc>
      </w:tr>
      <w:tr>
        <w:trPr>
          <w:trHeight w:hRule="exact" w:val="476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4667250</wp:posOffset>
                  </wp:positionV>
                  <wp:extent cx="190500" cy="152400"/>
                  <wp:wrapNone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8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Форма заявления — в Положении о ГИА</w:t>
            </w:r>
          </w:p>
        </w:tc>
      </w:tr>
    </w:tbl>
    <w:p>
      <w:pPr>
        <w:autoSpaceDN w:val="0"/>
        <w:autoSpaceDE w:val="0"/>
        <w:widowControl/>
        <w:spacing w:line="7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24"/>
        </w:trPr>
        <w:tc>
          <w:tcPr>
            <w:tcW w:type="dxa" w:w="99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3. ПРИНЯТЬ УЧАСТИЕ В АПЕЛЛЯЦИОННОЙ КОМИССИИ</w:t>
            </w:r>
          </w:p>
        </w:tc>
      </w:tr>
      <w:tr>
        <w:trPr>
          <w:trHeight w:hRule="exact" w:val="56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5695950</wp:posOffset>
                  </wp:positionV>
                  <wp:extent cx="190500" cy="190500"/>
                  <wp:wrapNone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Заседание проводится в дистанционном формате, аналогично заседанию ГЭК.</w:t>
            </w:r>
          </w:p>
        </w:tc>
      </w:tr>
      <w:tr>
        <w:trPr>
          <w:trHeight w:hRule="exact" w:val="56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6047740</wp:posOffset>
                  </wp:positionV>
                  <wp:extent cx="190500" cy="190500"/>
                  <wp:wrapNone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Студент, подавший апелляцию, приглашается на заседание АК </w:t>
            </w:r>
          </w:p>
        </w:tc>
      </w:tr>
      <w:tr>
        <w:trPr>
          <w:trHeight w:hRule="exact" w:val="49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6419850</wp:posOffset>
                  </wp:positionV>
                  <wp:extent cx="190500" cy="161290"/>
                  <wp:wrapNone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12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Заседание АК может проводиться в отсутствие студента, подавшего апелляцию, в случае его неявки на</w:t>
            </w:r>
          </w:p>
        </w:tc>
      </w:tr>
    </w:tbl>
    <w:p>
      <w:pPr>
        <w:autoSpaceDN w:val="0"/>
        <w:autoSpaceDE w:val="0"/>
        <w:widowControl/>
        <w:spacing w:line="240" w:lineRule="auto" w:before="60" w:after="802"/>
        <w:ind w:left="97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заседание АК.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28"/>
        </w:trPr>
        <w:tc>
          <w:tcPr>
            <w:tcW w:type="dxa" w:w="9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4. ПОЛУЧИТЬ ИНФОРМАЦИЮ О РЕЗУЛЬТАТАХ</w:t>
            </w:r>
          </w:p>
        </w:tc>
      </w:tr>
      <w:tr>
        <w:trPr>
          <w:trHeight w:hRule="exact" w:val="51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7686040</wp:posOffset>
                  </wp:positionV>
                  <wp:extent cx="190500" cy="190500"/>
                  <wp:wrapNone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Решение апелляционной комиссии (в виде протокола) будет направлено секретарем апелляционной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410"/>
        </w:trPr>
        <w:tc>
          <w:tcPr>
            <w:tcW w:type="dxa" w:w="10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комиссии по электронной почте </w:t>
            </w:r>
          </w:p>
        </w:tc>
      </w:tr>
      <w:tr>
        <w:trPr>
          <w:trHeight w:hRule="exact" w:val="56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6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8277859</wp:posOffset>
                  </wp:positionV>
                  <wp:extent cx="190500" cy="190500"/>
                  <wp:wrapNone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В течение 3 рабочих дней со дня заседания</w:t>
            </w:r>
          </w:p>
        </w:tc>
      </w:tr>
      <w:tr>
        <w:trPr>
          <w:trHeight w:hRule="exact" w:val="522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8638540</wp:posOffset>
                  </wp:positionV>
                  <wp:extent cx="190500" cy="190500"/>
                  <wp:wrapNone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Студент обязан ознакомиться с решением апелляционной комисии. Факт ознакомления = ответное письмо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4.0" w:type="dxa"/>
      </w:tblPr>
      <w:tblGrid>
        <w:gridCol w:w="5485"/>
        <w:gridCol w:w="5485"/>
      </w:tblGrid>
      <w:tr>
        <w:trPr>
          <w:trHeight w:hRule="exact" w:val="398"/>
        </w:trPr>
        <w:tc>
          <w:tcPr>
            <w:tcW w:type="dxa" w:w="9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9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секретарю АК</w:t>
            </w:r>
          </w:p>
        </w:tc>
      </w:tr>
      <w:tr>
        <w:trPr>
          <w:trHeight w:hRule="exact" w:val="580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9220200</wp:posOffset>
                  </wp:positionV>
                  <wp:extent cx="190500" cy="190500"/>
                  <wp:wrapNone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 xml:space="preserve"> Не позднее следующего рабочего дня с момента получения письма с протоколом от секретаря АК</w:t>
            </w:r>
          </w:p>
        </w:tc>
      </w:tr>
      <w:tr>
        <w:trPr>
          <w:trHeight w:hRule="exact" w:val="466"/>
        </w:trPr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971550</wp:posOffset>
                  </wp:positionH>
                  <wp:positionV relativeFrom="page">
                    <wp:posOffset>9591040</wp:posOffset>
                  </wp:positionV>
                  <wp:extent cx="190500" cy="162559"/>
                  <wp:wrapNone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2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6" w:after="0"/>
              <w:ind w:left="12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При отсутствии ответного письма будет оформлен акт об отказе от ознакомления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240" w:right="392" w:bottom="0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1094740</wp:posOffset>
            </wp:positionV>
            <wp:extent cx="190500" cy="162278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1800860</wp:posOffset>
            </wp:positionV>
            <wp:extent cx="190500" cy="162278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6227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1428750</wp:posOffset>
            </wp:positionV>
            <wp:extent cx="190500" cy="192036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3924300</wp:posOffset>
            </wp:positionV>
            <wp:extent cx="190500" cy="192036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5734050</wp:posOffset>
            </wp:positionV>
            <wp:extent cx="190500" cy="192036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7391400</wp:posOffset>
            </wp:positionV>
            <wp:extent cx="190500" cy="192036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2152650</wp:posOffset>
            </wp:positionV>
            <wp:extent cx="190500" cy="1905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1000760</wp:posOffset>
            </wp:positionH>
            <wp:positionV relativeFrom="page">
              <wp:posOffset>4667250</wp:posOffset>
            </wp:positionV>
            <wp:extent cx="190500" cy="1905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7744459</wp:posOffset>
            </wp:positionV>
            <wp:extent cx="190500" cy="190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4286250</wp:posOffset>
            </wp:positionV>
            <wp:extent cx="237490" cy="191375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913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971550</wp:posOffset>
            </wp:positionH>
            <wp:positionV relativeFrom="page">
              <wp:posOffset>6324600</wp:posOffset>
            </wp:positionV>
            <wp:extent cx="237490" cy="191375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913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3333750</wp:posOffset>
            </wp:positionH>
            <wp:positionV relativeFrom="page">
              <wp:posOffset>8105140</wp:posOffset>
            </wp:positionV>
            <wp:extent cx="1210310" cy="120078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200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419100</wp:posOffset>
            </wp:positionV>
            <wp:extent cx="6654800" cy="9309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930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04" w:val="left"/>
          <w:tab w:pos="554" w:val="left"/>
          <w:tab w:pos="566" w:val="left"/>
        </w:tabs>
        <w:autoSpaceDE w:val="0"/>
        <w:widowControl/>
        <w:spacing w:line="406" w:lineRule="auto" w:before="0" w:after="0"/>
        <w:ind w:left="204" w:right="144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5. ПРОЙТИ ПОВТОРНОЕ ИСПЫТАНИЕ (ЕСЛИ РЕЗУЛЬТАТЫ ИСПЫТАНИЯ БЫЛИ</w:t>
      </w: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АННУЛИРОВАНЫ)</w:t>
      </w:r>
      <w:r>
        <w:br/>
      </w:r>
      <w:r>
        <w:tab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Проводится только в случае принятия решения АК об аннулировании ранее полученного результата</w:t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Проводится аналогично проведению заседания ГЭК</w:t>
      </w:r>
      <w:r>
        <w:br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>Для участия в повторном заседании ГЭК дистанционно приглашается один из членов АК</w:t>
      </w:r>
    </w:p>
    <w:p>
      <w:pPr>
        <w:autoSpaceDN w:val="0"/>
        <w:autoSpaceDE w:val="0"/>
        <w:widowControl/>
        <w:spacing w:line="240" w:lineRule="auto" w:before="360" w:after="0"/>
        <w:ind w:left="5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В сроки, установленные ОП</w:t>
      </w:r>
    </w:p>
    <w:p>
      <w:pPr>
        <w:autoSpaceDN w:val="0"/>
        <w:autoSpaceDE w:val="0"/>
        <w:widowControl/>
        <w:spacing w:line="240" w:lineRule="auto" w:before="944" w:after="0"/>
        <w:ind w:left="0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1D1D99"/>
          <w:sz w:val="31"/>
        </w:rPr>
        <w:t>Завершение обучения и выдача дипломов</w:t>
      </w:r>
    </w:p>
    <w:p>
      <w:pPr>
        <w:autoSpaceDN w:val="0"/>
        <w:tabs>
          <w:tab w:pos="504" w:val="left"/>
          <w:tab w:pos="578" w:val="left"/>
        </w:tabs>
        <w:autoSpaceDE w:val="0"/>
        <w:widowControl/>
        <w:spacing w:line="434" w:lineRule="auto" w:before="620" w:after="0"/>
        <w:ind w:left="204" w:right="1152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1. ОЗНАКОМИТЬСЯ С МАКЕТОМ ДИПЛОМА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Согласовать макет диплома и приложения к диплому в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5" w:history="1">
          <w:r>
            <w:rPr>
              <w:rStyle w:val="Hyperlink"/>
            </w:rPr>
            <w:t>модуле "Завершение обучения"</w:t>
          </w:r>
        </w:hyperlink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Инструкция по работе с модулем</w:t>
      </w:r>
    </w:p>
    <w:p>
      <w:pPr>
        <w:autoSpaceDN w:val="0"/>
        <w:autoSpaceDE w:val="0"/>
        <w:widowControl/>
        <w:spacing w:line="240" w:lineRule="auto" w:before="360" w:after="0"/>
        <w:ind w:left="55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Срок ознакомления сообщает менеджер ОП</w:t>
      </w:r>
    </w:p>
    <w:p>
      <w:pPr>
        <w:autoSpaceDN w:val="0"/>
        <w:tabs>
          <w:tab w:pos="504" w:val="left"/>
          <w:tab w:pos="578" w:val="left"/>
        </w:tabs>
        <w:autoSpaceDE w:val="0"/>
        <w:widowControl/>
        <w:spacing w:line="418" w:lineRule="auto" w:before="860" w:after="0"/>
        <w:ind w:left="204" w:right="432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2. СООБЩИТЬ О НЕОБХОДИМОСТИ ПРЕДОСТАВЛЕНИЯ КАНИКУЛ</w:t>
      </w:r>
      <w:r>
        <w:br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Поставить отметку о необходимости предоставления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1" w:history="1">
          <w:r>
            <w:rPr>
              <w:rStyle w:val="Hyperlink"/>
            </w:rPr>
            <w:t>последипломных каникул</w:t>
          </w:r>
        </w:hyperlink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одновременно с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согласованием макета диплома </w:t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5" w:history="1">
          <w:r>
            <w:rPr>
              <w:rStyle w:val="Hyperlink"/>
            </w:rPr>
            <w:t>в модуле "Завершение обучения"</w:t>
          </w:r>
        </w:hyperlink>
      </w:r>
      <w:r>
        <w:br/>
      </w:r>
      <w:r>
        <w:tab/>
      </w:r>
      <w:r>
        <w:tab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Инструкция по работе с модулем</w:t>
      </w:r>
    </w:p>
    <w:p>
      <w:pPr>
        <w:autoSpaceDN w:val="0"/>
        <w:autoSpaceDE w:val="0"/>
        <w:widowControl/>
        <w:spacing w:line="430" w:lineRule="auto" w:before="860" w:after="0"/>
        <w:ind w:left="504" w:right="4176" w:hanging="30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t>3. ПОЗДРАВЛЯЕМ! ВЫ - ВЫПУСКНИК ВЫШКИ</w:t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Получить документы об образовании</w:t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8"/>
        </w:rPr>
        <w:t xml:space="preserve"> Дату и время вручения сообщит менеджер ОП</w:t>
      </w:r>
    </w:p>
    <w:p>
      <w:pPr>
        <w:sectPr>
          <w:pgSz w:w="11918" w:h="16858"/>
          <w:pgMar w:top="476" w:right="1440" w:bottom="1440" w:left="13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9" w:lineRule="auto" w:before="226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Положение о государственной итоговой аттестации студентов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программ высшего образования – программ бакалавриата, специалитета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магистратуры Национального исследовательского университета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48" w:history="1">
          <w:r>
            <w:rPr>
              <w:rStyle w:val="Hyperlink"/>
            </w:rPr>
            <w:t>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(вступил в силу 10.12.2025)</w:t>
      </w:r>
    </w:p>
    <w:p>
      <w:pPr>
        <w:autoSpaceDN w:val="0"/>
        <w:autoSpaceDE w:val="0"/>
        <w:widowControl/>
        <w:spacing w:line="240" w:lineRule="auto" w:before="1222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2692400</wp:posOffset>
            </wp:positionV>
            <wp:extent cx="508000" cy="2413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3073400</wp:posOffset>
            </wp:positionV>
            <wp:extent cx="1346200" cy="3175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3571240</wp:posOffset>
            </wp:positionV>
            <wp:extent cx="228600" cy="2286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78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Прием в бакалавриат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4542790</wp:posOffset>
            </wp:positionV>
            <wp:extent cx="6877050" cy="456989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3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8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186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100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1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4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05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IGA/#about" TargetMode="External"/><Relationship Id="rId12" Type="http://schemas.openxmlformats.org/officeDocument/2006/relationships/hyperlink" Target="https://www.hse.ru/studyspravka/IGA/#timeline" TargetMode="External"/><Relationship Id="rId13" Type="http://schemas.openxmlformats.org/officeDocument/2006/relationships/hyperlink" Target="https://www.hse.ru/studyspravka/IGA/#docs" TargetMode="External"/><Relationship Id="rId14" Type="http://schemas.openxmlformats.org/officeDocument/2006/relationships/hyperlink" Target="https://www.hse.ru/studyspravka/vkr" TargetMode="External"/><Relationship Id="rId15" Type="http://schemas.openxmlformats.org/officeDocument/2006/relationships/hyperlink" Target="https://www.hse.ru/studyspravka/GIA-apellacia" TargetMode="External"/><Relationship Id="rId16" Type="http://schemas.openxmlformats.org/officeDocument/2006/relationships/hyperlink" Target="https://www.hse.ru/studyspravka/gia_invalid" TargetMode="External"/><Relationship Id="rId17" Type="http://schemas.openxmlformats.org/officeDocument/2006/relationships/hyperlink" Target="https://www.hse.ru/studyspravka/otch" TargetMode="External"/><Relationship Id="rId18" Type="http://schemas.openxmlformats.org/officeDocument/2006/relationships/hyperlink" Target="https://www.hse.ru/studyspravka/vosst" TargetMode="External"/><Relationship Id="rId19" Type="http://schemas.openxmlformats.org/officeDocument/2006/relationships/hyperlink" Target="https://www.hse.ru/studyspravka/GIA-povtor" TargetMode="External"/><Relationship Id="rId20" Type="http://schemas.openxmlformats.org/officeDocument/2006/relationships/hyperlink" Target="https://www.hse.ru/studyspravka/theend/" TargetMode="External"/><Relationship Id="rId21" Type="http://schemas.openxmlformats.org/officeDocument/2006/relationships/hyperlink" Target="https://www.hse.ru/studyspravka/igaotpusk/" TargetMode="External"/><Relationship Id="rId22" Type="http://schemas.openxmlformats.org/officeDocument/2006/relationships/image" Target="media/image1.png"/><Relationship Id="rId23" Type="http://schemas.openxmlformats.org/officeDocument/2006/relationships/image" Target="media/image2.png"/><Relationship Id="rId24" Type="http://schemas.openxmlformats.org/officeDocument/2006/relationships/hyperlink" Target="https://www.hse.ru/standards/standard" TargetMode="External"/><Relationship Id="rId25" Type="http://schemas.openxmlformats.org/officeDocument/2006/relationships/image" Target="media/image3.png"/><Relationship Id="rId26" Type="http://schemas.openxmlformats.org/officeDocument/2006/relationships/hyperlink" Target="https://www.hse.ru/studyspravka/instpaliat" TargetMode="External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29" Type="http://schemas.openxmlformats.org/officeDocument/2006/relationships/image" Target="media/image6.png"/><Relationship Id="rId30" Type="http://schemas.openxmlformats.org/officeDocument/2006/relationships/hyperlink" Target="https://www.hse.ru/studyspravka/plan" TargetMode="External"/><Relationship Id="rId31" Type="http://schemas.openxmlformats.org/officeDocument/2006/relationships/image" Target="media/image7.png"/><Relationship Id="rId32" Type="http://schemas.openxmlformats.org/officeDocument/2006/relationships/image" Target="media/image8.png"/><Relationship Id="rId33" Type="http://schemas.openxmlformats.org/officeDocument/2006/relationships/image" Target="media/image9.png"/><Relationship Id="rId34" Type="http://schemas.openxmlformats.org/officeDocument/2006/relationships/image" Target="media/image10.png"/><Relationship Id="rId35" Type="http://schemas.openxmlformats.org/officeDocument/2006/relationships/image" Target="media/image11.png"/><Relationship Id="rId36" Type="http://schemas.openxmlformats.org/officeDocument/2006/relationships/image" Target="media/image12.png"/><Relationship Id="rId37" Type="http://schemas.openxmlformats.org/officeDocument/2006/relationships/image" Target="media/image13.png"/><Relationship Id="rId38" Type="http://schemas.openxmlformats.org/officeDocument/2006/relationships/image" Target="media/image14.png"/><Relationship Id="rId39" Type="http://schemas.openxmlformats.org/officeDocument/2006/relationships/hyperlink" Target="http://lms.hse.ru/" TargetMode="External"/><Relationship Id="rId40" Type="http://schemas.openxmlformats.org/officeDocument/2006/relationships/image" Target="media/image15.png"/><Relationship Id="rId41" Type="http://schemas.openxmlformats.org/officeDocument/2006/relationships/image" Target="media/image16.png"/><Relationship Id="rId42" Type="http://schemas.openxmlformats.org/officeDocument/2006/relationships/hyperlink" Target="https://www.hse.ru/studyspravka/medcert" TargetMode="External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hyperlink" Target="https://www.hse.ru/studyspravka/theend" TargetMode="External"/><Relationship Id="rId46" Type="http://schemas.openxmlformats.org/officeDocument/2006/relationships/image" Target="media/image19.png"/><Relationship Id="rId47" Type="http://schemas.openxmlformats.org/officeDocument/2006/relationships/image" Target="media/image20.png"/><Relationship Id="rId48" Type="http://schemas.openxmlformats.org/officeDocument/2006/relationships/hyperlink" Target="https://www.hse.ru/docs/1111223628.html" TargetMode="External"/><Relationship Id="rId49" Type="http://schemas.openxmlformats.org/officeDocument/2006/relationships/image" Target="media/image21.png"/><Relationship Id="rId50" Type="http://schemas.openxmlformats.org/officeDocument/2006/relationships/image" Target="media/image22.png"/><Relationship Id="rId51" Type="http://schemas.openxmlformats.org/officeDocument/2006/relationships/image" Target="media/image23.png"/><Relationship Id="rId52" Type="http://schemas.openxmlformats.org/officeDocument/2006/relationships/hyperlink" Target="https://www.hse.ru/org/hse/info/" TargetMode="External"/><Relationship Id="rId53" Type="http://schemas.openxmlformats.org/officeDocument/2006/relationships/hyperlink" Target="https://figures.hse.ru/" TargetMode="External"/><Relationship Id="rId54" Type="http://schemas.openxmlformats.org/officeDocument/2006/relationships/hyperlink" Target="https://www.hse.ru/orgstructure/" TargetMode="External"/><Relationship Id="rId55" Type="http://schemas.openxmlformats.org/officeDocument/2006/relationships/hyperlink" Target="https://sustainability.hse.ru/" TargetMode="External"/><Relationship Id="rId56" Type="http://schemas.openxmlformats.org/officeDocument/2006/relationships/hyperlink" Target="https://www.hse.ru/org/persons/" TargetMode="External"/><Relationship Id="rId57" Type="http://schemas.openxmlformats.org/officeDocument/2006/relationships/hyperlink" Target="https://www.hse.ru/buildinghse" TargetMode="External"/><Relationship Id="rId58" Type="http://schemas.openxmlformats.org/officeDocument/2006/relationships/hyperlink" Target="https://www.hse.ru/org/hse/aup/procurement/" TargetMode="External"/><Relationship Id="rId59" Type="http://schemas.openxmlformats.org/officeDocument/2006/relationships/hyperlink" Target="https://www.hse.ru/appeal/" TargetMode="External"/><Relationship Id="rId60" Type="http://schemas.openxmlformats.org/officeDocument/2006/relationships/hyperlink" Target="https://endowment.hse.ru/" TargetMode="External"/><Relationship Id="rId61" Type="http://schemas.openxmlformats.org/officeDocument/2006/relationships/hyperlink" Target="https://www.hse.ru/anticorruption" TargetMode="External"/><Relationship Id="rId62" Type="http://schemas.openxmlformats.org/officeDocument/2006/relationships/hyperlink" Target="https://www.hse.ru/anticorruption/information" TargetMode="External"/><Relationship Id="rId63" Type="http://schemas.openxmlformats.org/officeDocument/2006/relationships/hyperlink" Target="https://www.hse.ru/sveden/" TargetMode="External"/><Relationship Id="rId64" Type="http://schemas.openxmlformats.org/officeDocument/2006/relationships/hyperlink" Target="https://inclusive.hse.ru/" TargetMode="External"/><Relationship Id="rId65" Type="http://schemas.openxmlformats.org/officeDocument/2006/relationships/hyperlink" Target="https://pay.hse.ru/" TargetMode="External"/><Relationship Id="rId66" Type="http://schemas.openxmlformats.org/officeDocument/2006/relationships/hyperlink" Target="https://www.hse.ru/career" TargetMode="External"/><Relationship Id="rId67" Type="http://schemas.openxmlformats.org/officeDocument/2006/relationships/hyperlink" Target="https://www.hse.ru/education/" TargetMode="External"/><Relationship Id="rId68" Type="http://schemas.openxmlformats.org/officeDocument/2006/relationships/hyperlink" Target="https://school.hse.ru/" TargetMode="External"/><Relationship Id="rId69" Type="http://schemas.openxmlformats.org/officeDocument/2006/relationships/hyperlink" Target="https://fdp.hse.ru/" TargetMode="External"/><Relationship Id="rId70" Type="http://schemas.openxmlformats.org/officeDocument/2006/relationships/hyperlink" Target="https://olymp.hse.ru/" TargetMode="External"/><Relationship Id="rId71" Type="http://schemas.openxmlformats.org/officeDocument/2006/relationships/hyperlink" Target="https://ba.hse.ru/" TargetMode="External"/><Relationship Id="rId72" Type="http://schemas.openxmlformats.org/officeDocument/2006/relationships/hyperlink" Target="https://www.hse.ru/plus" TargetMode="External"/><Relationship Id="rId73" Type="http://schemas.openxmlformats.org/officeDocument/2006/relationships/hyperlink" Target="https://ma.hse.ru/" TargetMode="External"/><Relationship Id="rId74" Type="http://schemas.openxmlformats.org/officeDocument/2006/relationships/hyperlink" Target="https://aspirantura.hse.ru/" TargetMode="External"/><Relationship Id="rId75" Type="http://schemas.openxmlformats.org/officeDocument/2006/relationships/hyperlink" Target="https://busedu.hse.ru/" TargetMode="External"/><Relationship Id="rId76" Type="http://schemas.openxmlformats.org/officeDocument/2006/relationships/hyperlink" Target="https://career.hse.ru/" TargetMode="External"/><Relationship Id="rId77" Type="http://schemas.openxmlformats.org/officeDocument/2006/relationships/hyperlink" Target="http://inc.hse.ru/" TargetMode="External"/><Relationship Id="rId78" Type="http://schemas.openxmlformats.org/officeDocument/2006/relationships/hyperlink" Target="https://dd.hse.ru/" TargetMode="External"/><Relationship Id="rId79" Type="http://schemas.openxmlformats.org/officeDocument/2006/relationships/hyperlink" Target="https://www.hse.ru/feedback" TargetMode="External"/><Relationship Id="rId80" Type="http://schemas.openxmlformats.org/officeDocument/2006/relationships/hyperlink" Target="https://www.hse.ru/science/" TargetMode="External"/><Relationship Id="rId81" Type="http://schemas.openxmlformats.org/officeDocument/2006/relationships/hyperlink" Target="https://www.hse.ru/science/centers" TargetMode="External"/><Relationship Id="rId82" Type="http://schemas.openxmlformats.org/officeDocument/2006/relationships/hyperlink" Target="https://www.hse.ru/org/projects/" TargetMode="External"/><Relationship Id="rId83" Type="http://schemas.openxmlformats.org/officeDocument/2006/relationships/hyperlink" Target="https://www.hse.ru/monitoring/" TargetMode="External"/><Relationship Id="rId84" Type="http://schemas.openxmlformats.org/officeDocument/2006/relationships/hyperlink" Target="https://www.hse.ru/science/disscoun/" TargetMode="External"/><Relationship Id="rId85" Type="http://schemas.openxmlformats.org/officeDocument/2006/relationships/hyperlink" Target="https://aspirantura.hse.ru/defence/announcements/" TargetMode="External"/><Relationship Id="rId86" Type="http://schemas.openxmlformats.org/officeDocument/2006/relationships/hyperlink" Target="https://academics.hse.ru/" TargetMode="External"/><Relationship Id="rId87" Type="http://schemas.openxmlformats.org/officeDocument/2006/relationships/hyperlink" Target="https://www.hse.ru/science/hsegrants" TargetMode="External"/><Relationship Id="rId88" Type="http://schemas.openxmlformats.org/officeDocument/2006/relationships/hyperlink" Target="https://sezam.hse.ru/" TargetMode="External"/><Relationship Id="rId89" Type="http://schemas.openxmlformats.org/officeDocument/2006/relationships/hyperlink" Target="https://publications.hse.ru/" TargetMode="External"/><Relationship Id="rId90" Type="http://schemas.openxmlformats.org/officeDocument/2006/relationships/hyperlink" Target="https://library.hse.ru/" TargetMode="External"/><Relationship Id="rId91" Type="http://schemas.openxmlformats.org/officeDocument/2006/relationships/hyperlink" Target="https://id.hse.ru/" TargetMode="External"/><Relationship Id="rId92" Type="http://schemas.openxmlformats.org/officeDocument/2006/relationships/hyperlink" Target="https://bookshop.hse.ru/" TargetMode="External"/><Relationship Id="rId93" Type="http://schemas.openxmlformats.org/officeDocument/2006/relationships/hyperlink" Target="https://print.hse.ru/" TargetMode="External"/><Relationship Id="rId94" Type="http://schemas.openxmlformats.org/officeDocument/2006/relationships/hyperlink" Target="https://mc.hse.ru/" TargetMode="External"/><Relationship Id="rId95" Type="http://schemas.openxmlformats.org/officeDocument/2006/relationships/hyperlink" Target="https://www.hse.ru/science/journals" TargetMode="External"/><Relationship Id="rId96" Type="http://schemas.openxmlformats.org/officeDocument/2006/relationships/hyperlink" Target="http://www.minobrnauki.gov.ru/" TargetMode="External"/><Relationship Id="rId97" Type="http://schemas.openxmlformats.org/officeDocument/2006/relationships/hyperlink" Target="https://edu.gov.ru/" TargetMode="External"/><Relationship Id="rId98" Type="http://schemas.openxmlformats.org/officeDocument/2006/relationships/hyperlink" Target="http://www.edu.ru/" TargetMode="External"/><Relationship Id="rId99" Type="http://schemas.openxmlformats.org/officeDocument/2006/relationships/hyperlink" Target="https://elearning.hse.ru/mooc" TargetMode="External"/><Relationship Id="rId100" Type="http://schemas.openxmlformats.org/officeDocument/2006/relationships/hyperlink" Target="https://www.hse.ru/adm/edit/edit.html?goto=%2AL3N0dWR5c3ByYXZrYS9JR0E%2FX3I9MzYyMTQwNDE3NzUwODE2MzguNTg0NDc%3D%5E&amp;id=35424219&amp;cid=20594&amp;addon_name=default&amp;newportal=1" TargetMode="External"/><Relationship Id="rId101" Type="http://schemas.openxmlformats.org/officeDocument/2006/relationships/hyperlink" Target="https://www.hse.ru/contacts.html" TargetMode="External"/><Relationship Id="rId102" Type="http://schemas.openxmlformats.org/officeDocument/2006/relationships/hyperlink" Target="https://www.hse.ru/copyright" TargetMode="External"/><Relationship Id="rId103" Type="http://schemas.openxmlformats.org/officeDocument/2006/relationships/hyperlink" Target="https://www.hse.ru/data_protection_regulation" TargetMode="External"/><Relationship Id="rId104" Type="http://schemas.openxmlformats.org/officeDocument/2006/relationships/hyperlink" Target="https://www.hse.ru/sitemap.html" TargetMode="External"/><Relationship Id="rId105" Type="http://schemas.openxmlformats.org/officeDocument/2006/relationships/hyperlink" Target="https://design.hse.ru/" TargetMode="External"/><Relationship Id="rId106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