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78" w:val="left"/>
          <w:tab w:pos="9966" w:val="left"/>
        </w:tabs>
        <w:autoSpaceDE w:val="0"/>
        <w:widowControl/>
        <w:spacing w:line="283" w:lineRule="auto" w:before="198" w:after="0"/>
        <w:ind w:left="576" w:right="288" w:firstLine="0"/>
        <w:jc w:val="left"/>
      </w:pPr>
      <w:r>
        <w:tab/>
      </w: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534"/>
        <w:ind w:left="304" w:right="86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Отсрочка от службы в армии по учёбе для студентов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НИУ ВШЭ-Москва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3608"/>
        <w:gridCol w:w="3608"/>
        <w:gridCol w:w="3608"/>
      </w:tblGrid>
      <w:tr>
        <w:trPr>
          <w:trHeight w:hRule="exact" w:val="352"/>
        </w:trPr>
        <w:tc>
          <w:tcPr>
            <w:tcW w:type="dxa" w:w="2108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FFFFFF"/>
                <w:sz w:val="22"/>
              </w:rPr>
              <w:t>НИУ ВШЭ-Москва</w:t>
            </w:r>
          </w:p>
        </w:tc>
        <w:tc>
          <w:tcPr>
            <w:tcW w:type="dxa" w:w="3434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ВШЭ-Нижний Новгород</w:t>
            </w:r>
          </w:p>
        </w:tc>
        <w:tc>
          <w:tcPr>
            <w:tcW w:type="dxa" w:w="1756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ВШЭ-Пермь</w:t>
            </w:r>
          </w:p>
        </w:tc>
      </w:tr>
    </w:tbl>
    <w:p>
      <w:pPr>
        <w:autoSpaceDN w:val="0"/>
        <w:autoSpaceDE w:val="0"/>
        <w:widowControl/>
        <w:spacing w:line="7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6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Условия предоставления отсрочки</w:t>
            </w:r>
          </w:p>
        </w:tc>
      </w:tr>
    </w:tbl>
    <w:p>
      <w:pPr>
        <w:autoSpaceDN w:val="0"/>
        <w:autoSpaceDE w:val="0"/>
        <w:widowControl/>
        <w:spacing w:line="269" w:lineRule="auto" w:before="148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Отсрочка от призыва граждан на военную службу предоставляется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обучающимся образовательных программ бакалавриата / специалитета /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магистратуры (если Вы поступили в магистратуру сразу же после обучения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бакалавриате) / аспирантуры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 очной форме обучения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59" w:lineRule="auto" w:before="260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Это регламентируется подпунктом «а» части 2 статьи 24 Федерального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закона от 28.03.1998 № 53-ФЗ «О воинской обязанности и военной службе». </w:t>
      </w:r>
    </w:p>
    <w:p>
      <w:pPr>
        <w:autoSpaceDN w:val="0"/>
        <w:autoSpaceDE w:val="0"/>
        <w:widowControl/>
        <w:spacing w:line="264" w:lineRule="auto" w:before="260" w:after="0"/>
        <w:ind w:left="828" w:right="158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Вы обучаетесь в бакалавриате / специалитете по очной форме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обучения и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получили отсрочку во время обучения в школе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, то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Ваша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отсрочка сохраняется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64" w:lineRule="auto" w:before="260" w:after="26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Если Вы поступили в бакалавриат / специалитет после обучения в СПО и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во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время обучения в СПО воспользовались правом на отсрочку, то Ваша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 xml:space="preserve">отсрочка не сохраняется. </w:t>
            </w:r>
          </w:p>
        </w:tc>
      </w:tr>
    </w:tbl>
    <w:p>
      <w:pPr>
        <w:autoSpaceDN w:val="0"/>
        <w:autoSpaceDE w:val="0"/>
        <w:widowControl/>
        <w:spacing w:line="3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2884"/>
        </w:trPr>
        <w:tc>
          <w:tcPr>
            <w:tcW w:type="dxa" w:w="10804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3.9999999999999" w:type="dxa"/>
            </w:tblPr>
            <w:tblGrid>
              <w:gridCol w:w="10804"/>
            </w:tblGrid>
            <w:tr>
              <w:trPr>
                <w:trHeight w:hRule="exact" w:val="2048"/>
              </w:trPr>
              <w:tc>
                <w:tcPr>
                  <w:tcW w:type="dxa" w:w="10200"/>
                  <w:tcBorders/>
                  <w:shd w:fill="efefe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702" w:after="0"/>
                    <w:ind w:left="524" w:right="144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Порядок получения справки для отсрочки от</w:t>
                  </w: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0000"/>
                      <w:sz w:val="38"/>
                    </w:rPr>
                    <w:t>призыва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1" w:lineRule="auto" w:before="700" w:after="0"/>
        <w:ind w:left="828" w:right="720" w:firstLine="0"/>
        <w:jc w:val="left"/>
      </w:pP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Для получения </w:t>
      </w:r>
      <w:r>
        <w:rPr>
          <w:shd w:val="clear" w:color="auto" w:fill="000095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справки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, подтверждающей право на </w:t>
      </w:r>
      <w:r>
        <w:rPr>
          <w:shd w:val="clear" w:color="auto" w:fill="000095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отсрочку от призыва на</w:t>
      </w:r>
      <w:r>
        <w:rPr>
          <w:shd w:val="clear" w:color="auto" w:fill="000095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военную службу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, необходимо записаться в </w:t>
      </w:r>
      <w:r>
        <w:rPr>
          <w:shd w:val="clear" w:color="auto" w:fill="000095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электронную очередь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: для этого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нужно заполнить </w:t>
      </w:r>
      <w:r>
        <w:rPr>
          <w:shd w:val="clear" w:color="auto" w:fill="000095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форму по </w:t>
      </w:r>
      <w:r>
        <w:rPr>
          <w:u w:val="single" w:color="0079c4"/>
          <w:shd w:val="clear" w:color="auto" w:fill="000095"/>
          <w:w w:val="98.07692307692307"/>
          <w:rFonts w:ascii="Segoe UI Semibold" w:hAnsi="Segoe UI Semibold" w:eastAsia="Segoe UI Semibold"/>
          <w:b/>
          <w:i w:val="0"/>
          <w:color w:val="007AC5"/>
          <w:sz w:val="26"/>
        </w:rPr>
        <w:hyperlink r:id="rId12" w:history="1">
          <w:r>
            <w:rPr>
              <w:rStyle w:val="Hyperlink"/>
            </w:rPr>
            <w:t xml:space="preserve">ссылке </w:t>
          </w:r>
        </w:hyperlink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(в Яндекс Браузере)</w:t>
      </w:r>
      <w:r>
        <w:rPr>
          <w:shd w:val="clear" w:color="auto" w:fill="000095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. 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Заполнение формы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возможно </w:t>
      </w:r>
      <w:r>
        <w:rPr>
          <w:shd w:val="clear" w:color="auto" w:fill="000095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только под логином и паролем корпоративной студенческой</w:t>
      </w:r>
      <w:r>
        <w:rPr>
          <w:shd w:val="clear" w:color="auto" w:fill="000095"/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почты</w:t>
      </w:r>
      <w:r>
        <w:rPr>
          <w:shd w:val="clear" w:color="auto" w:fill="000095"/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9" w:lineRule="auto" w:before="260" w:after="34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FF0000"/>
          <w:sz w:val="26"/>
        </w:rPr>
        <w:t xml:space="preserve">!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у Вас несколько аккаунтов на Яндексе, Вам нужно войти именно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корпоративную учетную запись студента («войти в другой аккаунт» &gt; ввести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логин корпоративной студенческой почты  &gt; «войти» &gt; ввести логин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пароль корпоративной студенческой почты  &gt; поставить «галочку» на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32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согласии с условиями использования  &gt; «войти»).</w:t>
            </w:r>
          </w:p>
        </w:tc>
      </w:tr>
    </w:tbl>
    <w:p>
      <w:pPr>
        <w:autoSpaceDN w:val="0"/>
        <w:autoSpaceDE w:val="0"/>
        <w:widowControl/>
        <w:spacing w:line="269" w:lineRule="auto" w:before="800" w:after="0"/>
        <w:ind w:left="828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После записи в течение 1 рабочего дня на адрес корпоративной почты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студента НИУ ВШЭ Вам придет информация о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дате прибытия во Второй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отдел НИУ ВШЭ по адресу: г. Москва, Космонавта Волкова ул., д. 18, комн.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101, 107. </w:t>
      </w:r>
    </w:p>
    <w:p>
      <w:pPr>
        <w:autoSpaceDN w:val="0"/>
        <w:autoSpaceDE w:val="0"/>
        <w:widowControl/>
        <w:spacing w:line="264" w:lineRule="auto" w:before="262" w:after="0"/>
        <w:ind w:left="828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в течение 3 рабочих дней после заполнения формы Вам не пришло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письмо с датой явки во Второй отдел НИУ ВШЭ (не забудьте проверить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cпам), просим сообщить об этом на почту: </w:t>
      </w:r>
      <w:r>
        <w:rPr>
          <w:u w:val="single" w:color="0079c4"/>
          <w:w w:val="98.07692307692307"/>
          <w:rFonts w:ascii="Segoe UI Semibold" w:hAnsi="Segoe UI Semibold" w:eastAsia="Segoe UI Semibold"/>
          <w:b/>
          <w:i w:val="0"/>
          <w:color w:val="007AC5"/>
          <w:sz w:val="26"/>
        </w:rPr>
        <w:hyperlink r:id="rId13" w:history="1">
          <w:r>
            <w:rPr>
              <w:rStyle w:val="Hyperlink"/>
            </w:rPr>
            <w:t>2otdel@hse.ru</w:t>
          </w:r>
        </w:hyperlink>
      </w:r>
    </w:p>
    <w:p>
      <w:pPr>
        <w:autoSpaceDN w:val="0"/>
        <w:autoSpaceDE w:val="0"/>
        <w:widowControl/>
        <w:spacing w:line="257" w:lineRule="auto" w:before="862" w:after="0"/>
        <w:ind w:left="828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Убедительно просим явиться во Второй отдел НИУ ВШЭ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 дату, указанную в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письме, с 10:00 до 16:30</w:t>
      </w:r>
    </w:p>
    <w:p>
      <w:pPr>
        <w:autoSpaceDN w:val="0"/>
        <w:autoSpaceDE w:val="0"/>
        <w:widowControl/>
        <w:spacing w:line="240" w:lineRule="auto" w:before="262" w:after="32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При себе иметь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 xml:space="preserve">паспорт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и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удостоверение гражданина, подлежащего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0824"/>
      </w:tblGrid>
      <w:tr>
        <w:trPr>
          <w:trHeight w:hRule="exact" w:val="434"/>
        </w:trPr>
        <w:tc>
          <w:tcPr>
            <w:tcW w:type="dxa" w:w="71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20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призыву на военную службу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59" w:lineRule="auto" w:before="800" w:after="26"/>
        <w:ind w:left="720" w:right="1008" w:firstLine="0"/>
        <w:jc w:val="center"/>
      </w:pPr>
      <w:r>
        <w:rPr>
          <w:w w:val="98.07692307692307"/>
          <w:rFonts w:ascii="Segoe UI" w:hAnsi="Segoe UI" w:eastAsia="Segoe UI"/>
          <w:b w:val="0"/>
          <w:i w:val="0"/>
          <w:color w:val="FF0000"/>
          <w:sz w:val="26"/>
        </w:rPr>
        <w:t xml:space="preserve">!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Студенты, не достигшие 18 лет, получают справки по мере необходимости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предоставления их в военные комиссариаты, после достижения 18-летнего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500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82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возраста.</w:t>
            </w:r>
          </w:p>
        </w:tc>
      </w:tr>
    </w:tbl>
    <w:p>
      <w:pPr>
        <w:autoSpaceDN w:val="0"/>
        <w:autoSpaceDE w:val="0"/>
        <w:widowControl/>
        <w:spacing w:line="245" w:lineRule="auto" w:before="462" w:after="0"/>
        <w:ind w:left="304" w:right="43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Информация о постановке на воинский учет студентов,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поступивших до 2024 года</w:t>
      </w: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2381250</wp:posOffset>
            </wp:positionH>
            <wp:positionV relativeFrom="page">
              <wp:posOffset>990600</wp:posOffset>
            </wp:positionV>
            <wp:extent cx="190500" cy="1905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419100</wp:posOffset>
            </wp:positionV>
            <wp:extent cx="6502400" cy="1066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1066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1"/>
        <w:gridCol w:w="3411"/>
        <w:gridCol w:w="3411"/>
      </w:tblGrid>
      <w:tr>
        <w:trPr>
          <w:trHeight w:hRule="exact" w:val="1534"/>
        </w:trPr>
        <w:tc>
          <w:tcPr>
            <w:tcW w:type="dxa" w:w="8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00" w:right="288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Студенты, подлежащие воинскому учёту во Втором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отделе НИУ ВШЭ </w:t>
            </w:r>
          </w:p>
        </w:tc>
        <w:tc>
          <w:tcPr>
            <w:tcW w:type="dxa" w:w="1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18" w:after="0"/>
              <w:ind w:left="0" w:right="0" w:firstLine="0"/>
              <w:jc w:val="center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t>свернуть все</w:t>
            </w:r>
          </w:p>
        </w:tc>
      </w:tr>
      <w:tr>
        <w:trPr>
          <w:trHeight w:hRule="exact" w:val="1276"/>
        </w:trPr>
        <w:tc>
          <w:tcPr>
            <w:tcW w:type="dxa" w:w="4764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6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Постановка на воинский учёт </w:t>
            </w:r>
          </w:p>
        </w:tc>
        <w:tc>
          <w:tcPr>
            <w:tcW w:type="dxa" w:w="360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2" w:after="0"/>
              <w:ind w:left="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3571240</wp:posOffset>
                  </wp:positionH>
                  <wp:positionV relativeFrom="page">
                    <wp:posOffset>1991360</wp:posOffset>
                  </wp:positionV>
                  <wp:extent cx="190500" cy="1905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850"/>
            <w:tcBorders/>
            <w:shd w:fill="f5f5f5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1260"/>
        </w:trPr>
        <w:tc>
          <w:tcPr>
            <w:tcW w:type="dxa" w:w="8104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4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Отсрочка при обучении в пятилетнем бакалавриате </w:t>
            </w:r>
          </w:p>
        </w:tc>
        <w:tc>
          <w:tcPr>
            <w:tcW w:type="dxa" w:w="2110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8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5695950</wp:posOffset>
                  </wp:positionH>
                  <wp:positionV relativeFrom="page">
                    <wp:posOffset>3228340</wp:posOffset>
                  </wp:positionV>
                  <wp:extent cx="190500" cy="1905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1182"/>
        </w:trPr>
        <w:tc>
          <w:tcPr>
            <w:tcW w:type="dxa" w:w="10214"/>
            <w:gridSpan w:val="2"/>
            <w:tcBorders/>
            <w:shd w:fill="def4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94" w:after="0"/>
              <w:ind w:left="300" w:right="576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Сохраняется ли право на отсрочку от призыва на военную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службу у обучающихся, при переводе между специалитетом и</w:t>
            </w:r>
          </w:p>
        </w:tc>
      </w:tr>
      <w:tr>
        <w:trPr>
          <w:trHeight w:hRule="exact" w:val="842"/>
        </w:trPr>
        <w:tc>
          <w:tcPr>
            <w:tcW w:type="dxa" w:w="2784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бакалавриатом? </w:t>
            </w:r>
          </w:p>
        </w:tc>
        <w:tc>
          <w:tcPr>
            <w:tcW w:type="dxa" w:w="7430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2324100</wp:posOffset>
                  </wp:positionH>
                  <wp:positionV relativeFrom="page">
                    <wp:posOffset>4696460</wp:posOffset>
                  </wp:positionV>
                  <wp:extent cx="190500" cy="1905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1276"/>
        </w:trPr>
        <w:tc>
          <w:tcPr>
            <w:tcW w:type="dxa" w:w="9464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4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Сохраняется ли отсрочка при уходе в академический отпуск? </w:t>
            </w:r>
          </w:p>
        </w:tc>
        <w:tc>
          <w:tcPr>
            <w:tcW w:type="dxa" w:w="750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1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6563359</wp:posOffset>
                  </wp:positionH>
                  <wp:positionV relativeFrom="page">
                    <wp:posOffset>5695950</wp:posOffset>
                  </wp:positionV>
                  <wp:extent cx="190500" cy="1905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808"/>
        </w:trPr>
        <w:tc>
          <w:tcPr>
            <w:tcW w:type="dxa" w:w="10214"/>
            <w:gridSpan w:val="2"/>
            <w:tcBorders/>
            <w:shd w:fill="def4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4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Является ли ИУП с повтором основанием для предоставления</w:t>
            </w:r>
          </w:p>
        </w:tc>
      </w:tr>
      <w:tr>
        <w:trPr>
          <w:trHeight w:hRule="exact" w:val="840"/>
        </w:trPr>
        <w:tc>
          <w:tcPr>
            <w:tcW w:type="dxa" w:w="6624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студенту дополнительного года отсрочки?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</w:p>
        </w:tc>
        <w:tc>
          <w:tcPr>
            <w:tcW w:type="dxa" w:w="3590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4762500</wp:posOffset>
                  </wp:positionH>
                  <wp:positionV relativeFrom="page">
                    <wp:posOffset>6934200</wp:posOffset>
                  </wp:positionV>
                  <wp:extent cx="190500" cy="1905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1636"/>
        </w:trPr>
        <w:tc>
          <w:tcPr>
            <w:tcW w:type="dxa" w:w="10214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6" w:after="0"/>
              <w:ind w:left="300" w:right="432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Процедура предоставления отсрочки студентам магистратуры</w:t>
            </w:r>
            <w:r>
              <w:rPr>
                <w:u w:val="single" w:color="0079c4"/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,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окончившим обучение в бакалавриате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4467860</wp:posOffset>
                  </wp:positionH>
                  <wp:positionV relativeFrom="page">
                    <wp:posOffset>8163559</wp:posOffset>
                  </wp:positionV>
                  <wp:extent cx="190500" cy="1905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1256"/>
        </w:trPr>
        <w:tc>
          <w:tcPr>
            <w:tcW w:type="dxa" w:w="8724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4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Дают ли последипломные каникулы право на отсрочку? </w:t>
            </w:r>
          </w:p>
        </w:tc>
        <w:tc>
          <w:tcPr>
            <w:tcW w:type="dxa" w:w="1490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6096000</wp:posOffset>
                  </wp:positionH>
                  <wp:positionV relativeFrom="page">
                    <wp:posOffset>9163050</wp:posOffset>
                  </wp:positionV>
                  <wp:extent cx="190500" cy="1905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544" w:right="828" w:bottom="830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808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798"/>
              </w:trPr>
              <w:tc>
                <w:tcPr>
                  <w:tcW w:type="dxa" w:w="10214"/>
                  <w:tcBorders/>
                  <w:shd w:fill="effae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Основные условия предоставления отсрочки от службы в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40"/>
        </w:trPr>
        <w:tc>
          <w:tcPr>
            <w:tcW w:type="dxa" w:w="13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армии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</w:p>
        </w:tc>
        <w:tc>
          <w:tcPr>
            <w:tcW w:type="dxa" w:w="88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1399540</wp:posOffset>
                  </wp:positionH>
                  <wp:positionV relativeFrom="page">
                    <wp:posOffset>990600</wp:posOffset>
                  </wp:positionV>
                  <wp:extent cx="190500" cy="19050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00" w:lineRule="auto" w:before="828" w:after="0"/>
        <w:ind w:left="300" w:right="288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Порядок воинского учета в Национальном исследовательском университете «Высшая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школа экономики»</w:t>
          </w:r>
        </w:hyperlink>
      </w:r>
    </w:p>
    <w:p>
      <w:pPr>
        <w:autoSpaceDN w:val="0"/>
        <w:autoSpaceDE w:val="0"/>
        <w:widowControl/>
        <w:spacing w:line="240" w:lineRule="auto" w:before="57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Контакты</w:t>
      </w:r>
    </w:p>
    <w:p>
      <w:pPr>
        <w:autoSpaceDN w:val="0"/>
        <w:autoSpaceDE w:val="0"/>
        <w:widowControl/>
        <w:spacing w:line="338" w:lineRule="auto" w:before="292" w:after="0"/>
        <w:ind w:left="300" w:right="432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Режим работы военно-учетного стола</w:t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Второй отдел НИУ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выдает справки установленного образца (приложение № 4 к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Положению о призыве на военную службу граждан РФ), подтверждающей право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отсрочку от призыва на военную службу</w:t>
      </w:r>
      <w:r>
        <w:br/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понедельник - четверг с 10:00 до 17:00, пятница с 10:00 до 16:00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  <w:u w:val="single"/>
        </w:rPr>
        <w:t>Адрес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: г. Москва, ул. Космонавта Волкова дом 18, комн. 101, 107.</w:t>
      </w:r>
    </w:p>
    <w:p>
      <w:pPr>
        <w:autoSpaceDN w:val="0"/>
        <w:autoSpaceDE w:val="0"/>
        <w:widowControl/>
        <w:spacing w:line="240" w:lineRule="auto" w:before="260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  <w:u w:val="single"/>
        </w:rPr>
        <w:t>Телефоны: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8 (495) 916-89-00 доб. 15045, 15136</w:t>
      </w:r>
    </w:p>
    <w:p>
      <w:pPr>
        <w:autoSpaceDN w:val="0"/>
        <w:autoSpaceDE w:val="0"/>
        <w:widowControl/>
        <w:spacing w:line="240" w:lineRule="auto" w:before="121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6756400</wp:posOffset>
            </wp:positionV>
            <wp:extent cx="508000" cy="2413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7137400</wp:posOffset>
            </wp:positionV>
            <wp:extent cx="1346200" cy="3175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7639050</wp:posOffset>
            </wp:positionV>
            <wp:extent cx="228600" cy="2286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36" w:lineRule="auto" w:before="962" w:after="0"/>
        <w:ind w:left="300" w:right="748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1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Устойчивое развитие в НИУ ВШЭ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8763000</wp:posOffset>
            </wp:positionV>
            <wp:extent cx="6877050" cy="1520123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5201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6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9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43" w:lineRule="auto" w:before="184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8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Типография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424180</wp:posOffset>
            </wp:positionV>
            <wp:extent cx="6877050" cy="3062461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0624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8" w:after="0"/>
        <w:ind w:left="300" w:right="9216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1" w:lineRule="auto" w:before="200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Массовые открытые онлайн-курсы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0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forms.yandex.ru/cloud/68b15d8e5056901749dd51a8" TargetMode="External"/><Relationship Id="rId13" Type="http://schemas.openxmlformats.org/officeDocument/2006/relationships/hyperlink" Target="mailto:2otdel@hse.ru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hyperlink" Target="https://www.hse.ru/docs/857097025.html" TargetMode="External"/><Relationship Id="rId17" Type="http://schemas.openxmlformats.org/officeDocument/2006/relationships/hyperlink" Target="https://www.hse.ru/vtotd/" TargetMode="External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hyperlink" Target="https://www.hse.ru/org/hse/info/" TargetMode="External"/><Relationship Id="rId22" Type="http://schemas.openxmlformats.org/officeDocument/2006/relationships/hyperlink" Target="https://figures.hse.ru/" TargetMode="External"/><Relationship Id="rId23" Type="http://schemas.openxmlformats.org/officeDocument/2006/relationships/hyperlink" Target="https://www.hse.ru/orgstructure/" TargetMode="External"/><Relationship Id="rId24" Type="http://schemas.openxmlformats.org/officeDocument/2006/relationships/hyperlink" Target="https://sustainability.hse.ru/" TargetMode="External"/><Relationship Id="rId25" Type="http://schemas.openxmlformats.org/officeDocument/2006/relationships/hyperlink" Target="https://www.hse.ru/org/persons/" TargetMode="External"/><Relationship Id="rId26" Type="http://schemas.openxmlformats.org/officeDocument/2006/relationships/hyperlink" Target="https://www.hse.ru/buildinghse" TargetMode="External"/><Relationship Id="rId27" Type="http://schemas.openxmlformats.org/officeDocument/2006/relationships/hyperlink" Target="https://www.hse.ru/org/hse/aup/procurement/" TargetMode="External"/><Relationship Id="rId28" Type="http://schemas.openxmlformats.org/officeDocument/2006/relationships/hyperlink" Target="https://www.hse.ru/appeal/" TargetMode="External"/><Relationship Id="rId29" Type="http://schemas.openxmlformats.org/officeDocument/2006/relationships/hyperlink" Target="https://endowment.hse.ru/" TargetMode="External"/><Relationship Id="rId30" Type="http://schemas.openxmlformats.org/officeDocument/2006/relationships/hyperlink" Target="https://www.hse.ru/anticorruption" TargetMode="External"/><Relationship Id="rId31" Type="http://schemas.openxmlformats.org/officeDocument/2006/relationships/hyperlink" Target="https://www.hse.ru/anticorruption/information" TargetMode="External"/><Relationship Id="rId32" Type="http://schemas.openxmlformats.org/officeDocument/2006/relationships/hyperlink" Target="https://www.hse.ru/sveden/" TargetMode="External"/><Relationship Id="rId33" Type="http://schemas.openxmlformats.org/officeDocument/2006/relationships/hyperlink" Target="https://inclusive.hse.ru/" TargetMode="External"/><Relationship Id="rId34" Type="http://schemas.openxmlformats.org/officeDocument/2006/relationships/hyperlink" Target="https://pay.hse.ru/" TargetMode="External"/><Relationship Id="rId35" Type="http://schemas.openxmlformats.org/officeDocument/2006/relationships/hyperlink" Target="https://www.hse.ru/career" TargetMode="External"/><Relationship Id="rId36" Type="http://schemas.openxmlformats.org/officeDocument/2006/relationships/hyperlink" Target="https://www.hse.ru/education/" TargetMode="External"/><Relationship Id="rId37" Type="http://schemas.openxmlformats.org/officeDocument/2006/relationships/hyperlink" Target="https://school.hse.ru/" TargetMode="External"/><Relationship Id="rId38" Type="http://schemas.openxmlformats.org/officeDocument/2006/relationships/hyperlink" Target="https://fdp.hse.ru/" TargetMode="External"/><Relationship Id="rId39" Type="http://schemas.openxmlformats.org/officeDocument/2006/relationships/hyperlink" Target="https://olymp.hse.ru/" TargetMode="External"/><Relationship Id="rId40" Type="http://schemas.openxmlformats.org/officeDocument/2006/relationships/hyperlink" Target="https://ba.hse.ru/" TargetMode="External"/><Relationship Id="rId41" Type="http://schemas.openxmlformats.org/officeDocument/2006/relationships/hyperlink" Target="https://www.hse.ru/plus" TargetMode="External"/><Relationship Id="rId42" Type="http://schemas.openxmlformats.org/officeDocument/2006/relationships/hyperlink" Target="https://ma.hse.ru/" TargetMode="External"/><Relationship Id="rId43" Type="http://schemas.openxmlformats.org/officeDocument/2006/relationships/hyperlink" Target="https://aspirantura.hse.ru/" TargetMode="External"/><Relationship Id="rId44" Type="http://schemas.openxmlformats.org/officeDocument/2006/relationships/hyperlink" Target="https://busedu.hse.ru/" TargetMode="External"/><Relationship Id="rId45" Type="http://schemas.openxmlformats.org/officeDocument/2006/relationships/hyperlink" Target="https://career.hse.ru/" TargetMode="External"/><Relationship Id="rId46" Type="http://schemas.openxmlformats.org/officeDocument/2006/relationships/hyperlink" Target="http://inc.hse.ru/" TargetMode="External"/><Relationship Id="rId47" Type="http://schemas.openxmlformats.org/officeDocument/2006/relationships/hyperlink" Target="https://dd.hse.ru/" TargetMode="External"/><Relationship Id="rId48" Type="http://schemas.openxmlformats.org/officeDocument/2006/relationships/hyperlink" Target="https://www.hse.ru/feedback" TargetMode="External"/><Relationship Id="rId49" Type="http://schemas.openxmlformats.org/officeDocument/2006/relationships/hyperlink" Target="https://www.hse.ru/science/" TargetMode="External"/><Relationship Id="rId50" Type="http://schemas.openxmlformats.org/officeDocument/2006/relationships/hyperlink" Target="https://www.hse.ru/science/centers" TargetMode="External"/><Relationship Id="rId51" Type="http://schemas.openxmlformats.org/officeDocument/2006/relationships/hyperlink" Target="https://www.hse.ru/org/projects/" TargetMode="External"/><Relationship Id="rId52" Type="http://schemas.openxmlformats.org/officeDocument/2006/relationships/hyperlink" Target="https://www.hse.ru/monitoring/" TargetMode="External"/><Relationship Id="rId53" Type="http://schemas.openxmlformats.org/officeDocument/2006/relationships/hyperlink" Target="https://www.hse.ru/science/disscoun/" TargetMode="External"/><Relationship Id="rId54" Type="http://schemas.openxmlformats.org/officeDocument/2006/relationships/hyperlink" Target="https://aspirantura.hse.ru/defence/announcements/" TargetMode="External"/><Relationship Id="rId55" Type="http://schemas.openxmlformats.org/officeDocument/2006/relationships/hyperlink" Target="https://academics.hse.ru/" TargetMode="External"/><Relationship Id="rId56" Type="http://schemas.openxmlformats.org/officeDocument/2006/relationships/hyperlink" Target="https://www.hse.ru/science/hsegrants" TargetMode="External"/><Relationship Id="rId57" Type="http://schemas.openxmlformats.org/officeDocument/2006/relationships/hyperlink" Target="https://sezam.hse.ru/" TargetMode="External"/><Relationship Id="rId58" Type="http://schemas.openxmlformats.org/officeDocument/2006/relationships/hyperlink" Target="https://publications.hse.ru/" TargetMode="External"/><Relationship Id="rId59" Type="http://schemas.openxmlformats.org/officeDocument/2006/relationships/hyperlink" Target="https://library.hse.ru/" TargetMode="External"/><Relationship Id="rId60" Type="http://schemas.openxmlformats.org/officeDocument/2006/relationships/hyperlink" Target="https://id.hse.ru/" TargetMode="External"/><Relationship Id="rId61" Type="http://schemas.openxmlformats.org/officeDocument/2006/relationships/hyperlink" Target="https://bookshop.hse.ru/" TargetMode="External"/><Relationship Id="rId62" Type="http://schemas.openxmlformats.org/officeDocument/2006/relationships/hyperlink" Target="https://print.hse.ru/" TargetMode="External"/><Relationship Id="rId63" Type="http://schemas.openxmlformats.org/officeDocument/2006/relationships/image" Target="media/image7.png"/><Relationship Id="rId64" Type="http://schemas.openxmlformats.org/officeDocument/2006/relationships/hyperlink" Target="https://mc.hse.ru/" TargetMode="External"/><Relationship Id="rId65" Type="http://schemas.openxmlformats.org/officeDocument/2006/relationships/hyperlink" Target="https://www.hse.ru/science/journals" TargetMode="External"/><Relationship Id="rId66" Type="http://schemas.openxmlformats.org/officeDocument/2006/relationships/hyperlink" Target="http://www.minobrnauki.gov.ru/" TargetMode="External"/><Relationship Id="rId67" Type="http://schemas.openxmlformats.org/officeDocument/2006/relationships/hyperlink" Target="https://edu.gov.ru/" TargetMode="External"/><Relationship Id="rId68" Type="http://schemas.openxmlformats.org/officeDocument/2006/relationships/hyperlink" Target="http://www.edu.ru/" TargetMode="External"/><Relationship Id="rId69" Type="http://schemas.openxmlformats.org/officeDocument/2006/relationships/hyperlink" Target="https://elearning.hse.ru/mooc" TargetMode="External"/><Relationship Id="rId70" Type="http://schemas.openxmlformats.org/officeDocument/2006/relationships/hyperlink" Target="https://www.hse.ru/adm/edit/edit.html?goto=%2AL3N0dWR5c3ByYXZrYS9PdHNyb2Noa2E%2FX3I9MzYyMDcyMTE3NzUwODExMzAuOTkwNTU%3D%5E&amp;id=131213064&amp;cid=20594&amp;addon_name=default&amp;newportal=1" TargetMode="External"/><Relationship Id="rId71" Type="http://schemas.openxmlformats.org/officeDocument/2006/relationships/hyperlink" Target="https://www.hse.ru/contacts.html" TargetMode="External"/><Relationship Id="rId72" Type="http://schemas.openxmlformats.org/officeDocument/2006/relationships/hyperlink" Target="https://www.hse.ru/copyright" TargetMode="External"/><Relationship Id="rId73" Type="http://schemas.openxmlformats.org/officeDocument/2006/relationships/hyperlink" Target="https://www.hse.ru/data_protection_regulation" TargetMode="External"/><Relationship Id="rId74" Type="http://schemas.openxmlformats.org/officeDocument/2006/relationships/hyperlink" Target="https://www.hse.ru/sitemap.html" TargetMode="External"/><Relationship Id="rId75" Type="http://schemas.openxmlformats.org/officeDocument/2006/relationships/hyperlink" Target="https://design.hse.ru/" TargetMode="External"/><Relationship Id="rId7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