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1971039</wp:posOffset>
            </wp:positionV>
            <wp:extent cx="6485890" cy="691764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9176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5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Шкала соответствия оценок в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9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Шкала соответствия оценок в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6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Использование оценок «9» и «10»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Использование оценки «0»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87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Шкала соответствия оценок при зачете результатов предыдущего образования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Зачетка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Контроль знаний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2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Зачет результатов международных экзаменов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Экзамены Data Culture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Перевод на другую программу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1" w:history="1">
                <w:r>
                  <w:rPr>
                    <w:rStyle w:val="Hyperlink"/>
                  </w:rPr>
                  <w:t>Перевод в НИУ ВШЭ из других образовательных организаций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Вышке промежуточные и окончательные оценки по дисциплинам выставляются в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электронной зачетной книжке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10‑балльной шкале, при этом для каждого балла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установлено соответствие 5‑балльной шкале, официально принятой в России, а в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приложении к диплому НИУ ВШЭ на английском языке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оценки отражены в шкале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системы перевода и накопления кредитов Credit System (CS).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Текущие оценки по дисциплинам преподаватель обязательно фиксирует в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рабочей ведомости.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62" w:after="10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Шкала соответствия оценок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2264"/>
        </w:trPr>
        <w:tc>
          <w:tcPr>
            <w:tcW w:type="dxa" w:w="2010"/>
            <w:tcBorders>
              <w:start w:sz="5.600000000000023" w:val="single" w:color="#000000"/>
              <w:top w:sz="6.399999999999977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54" w:after="0"/>
              <w:ind w:left="288" w:right="432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Оценка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 10-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балльной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шкале</w:t>
            </w:r>
          </w:p>
        </w:tc>
        <w:tc>
          <w:tcPr>
            <w:tcW w:type="dxa" w:w="3886"/>
            <w:tcBorders>
              <w:start w:sz="6.400000000000091" w:val="single" w:color="#000000"/>
              <w:top w:sz="6.399999999999977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54" w:after="0"/>
              <w:ind w:left="576" w:right="576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Оценка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 5-балльной шкале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за экзамен</w:t>
            </w:r>
          </w:p>
        </w:tc>
        <w:tc>
          <w:tcPr>
            <w:tcW w:type="dxa" w:w="2474"/>
            <w:gridSpan w:val="2"/>
            <w:tcBorders>
              <w:start w:sz="5.599999999999909" w:val="single" w:color="#000000"/>
              <w:top w:sz="6.399999999999977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54" w:after="0"/>
              <w:ind w:left="144" w:right="288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Оценка</w:t>
            </w:r>
            <w:r>
              <w:br/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 приложении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 диплому НИУ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ВШЭ</w:t>
            </w:r>
          </w:p>
        </w:tc>
        <w:tc>
          <w:tcPr>
            <w:tcW w:type="dxa" w:w="1830"/>
            <w:tcBorders>
              <w:start w:sz="6.400000000000091" w:val="single" w:color="#000000"/>
              <w:top w:sz="6.399999999999977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4" w:after="0"/>
              <w:ind w:left="288" w:right="432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Оценка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за зачет</w:t>
            </w:r>
          </w:p>
        </w:tc>
      </w:tr>
      <w:tr>
        <w:trPr>
          <w:trHeight w:hRule="exact" w:val="1260"/>
        </w:trPr>
        <w:tc>
          <w:tcPr>
            <w:tcW w:type="dxa" w:w="2010"/>
            <w:tcBorders>
              <w:start w:sz="5.600000000000023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3886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54" w:after="0"/>
              <w:ind w:left="432" w:right="432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отлично (существенно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превосходит ожидания)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54" w:after="0"/>
              <w:ind w:left="144" w:right="144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A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++</w:t>
            </w:r>
          </w:p>
        </w:tc>
        <w:tc>
          <w:tcPr>
            <w:tcW w:type="dxa" w:w="168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Excellent</w:t>
            </w:r>
          </w:p>
        </w:tc>
        <w:tc>
          <w:tcPr>
            <w:tcW w:type="dxa" w:w="183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  <w:tr>
        <w:trPr>
          <w:trHeight w:hRule="exact" w:val="1260"/>
        </w:trPr>
        <w:tc>
          <w:tcPr>
            <w:tcW w:type="dxa" w:w="2010"/>
            <w:tcBorders>
              <w:start w:sz="5.600000000000023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3886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4" w:after="0"/>
              <w:ind w:left="576" w:right="576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отлично (превосходит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ожидания)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A +</w:t>
            </w:r>
          </w:p>
        </w:tc>
        <w:tc>
          <w:tcPr>
            <w:tcW w:type="dxa" w:w="168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Very good</w:t>
            </w:r>
          </w:p>
        </w:tc>
        <w:tc>
          <w:tcPr>
            <w:tcW w:type="dxa" w:w="183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3886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отлично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A</w:t>
            </w:r>
          </w:p>
        </w:tc>
        <w:tc>
          <w:tcPr>
            <w:tcW w:type="dxa" w:w="168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Very good</w:t>
            </w:r>
          </w:p>
        </w:tc>
        <w:tc>
          <w:tcPr>
            <w:tcW w:type="dxa" w:w="183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3886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хорошо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B +</w:t>
            </w:r>
          </w:p>
        </w:tc>
        <w:tc>
          <w:tcPr>
            <w:tcW w:type="dxa" w:w="168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Good</w:t>
            </w:r>
          </w:p>
        </w:tc>
        <w:tc>
          <w:tcPr>
            <w:tcW w:type="dxa" w:w="1830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3886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хорошо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B -</w:t>
            </w:r>
          </w:p>
        </w:tc>
        <w:tc>
          <w:tcPr>
            <w:tcW w:type="dxa" w:w="168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Good</w:t>
            </w:r>
          </w:p>
        </w:tc>
        <w:tc>
          <w:tcPr>
            <w:tcW w:type="dxa" w:w="183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3886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удовлетворительно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C +</w:t>
            </w:r>
          </w:p>
        </w:tc>
        <w:tc>
          <w:tcPr>
            <w:tcW w:type="dxa" w:w="168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Satisfactory</w:t>
            </w:r>
          </w:p>
        </w:tc>
        <w:tc>
          <w:tcPr>
            <w:tcW w:type="dxa" w:w="1830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3886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удовлетворительно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C -</w:t>
            </w:r>
          </w:p>
        </w:tc>
        <w:tc>
          <w:tcPr>
            <w:tcW w:type="dxa" w:w="168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Satisfactory</w:t>
            </w:r>
          </w:p>
        </w:tc>
        <w:tc>
          <w:tcPr>
            <w:tcW w:type="dxa" w:w="183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3886"/>
            <w:tcBorders>
              <w:start w:sz="6.400000000000091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неудовлетворительно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F</w:t>
            </w:r>
          </w:p>
        </w:tc>
        <w:tc>
          <w:tcPr>
            <w:tcW w:type="dxa" w:w="168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Fail</w:t>
            </w:r>
          </w:p>
        </w:tc>
        <w:tc>
          <w:tcPr>
            <w:tcW w:type="dxa" w:w="1830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3886"/>
            <w:tcBorders>
              <w:start w:sz="6.400000000000091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неудовлетворительно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F</w:t>
            </w:r>
          </w:p>
        </w:tc>
        <w:tc>
          <w:tcPr>
            <w:tcW w:type="dxa" w:w="1680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Fail</w:t>
            </w:r>
          </w:p>
        </w:tc>
        <w:tc>
          <w:tcPr>
            <w:tcW w:type="dxa" w:w="1830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зачтено</w:t>
            </w:r>
          </w:p>
        </w:tc>
      </w:tr>
      <w:tr>
        <w:trPr>
          <w:trHeight w:hRule="exact" w:val="870"/>
        </w:trPr>
        <w:tc>
          <w:tcPr>
            <w:tcW w:type="dxa" w:w="2010"/>
            <w:tcBorders>
              <w:start w:sz="5.600000000000023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3886"/>
            <w:tcBorders>
              <w:start w:sz="6.400000000000091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неудовлетворительно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F</w:t>
            </w:r>
          </w:p>
        </w:tc>
        <w:tc>
          <w:tcPr>
            <w:tcW w:type="dxa" w:w="168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Fail</w:t>
            </w:r>
          </w:p>
        </w:tc>
        <w:tc>
          <w:tcPr>
            <w:tcW w:type="dxa" w:w="1830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зачтено</w:t>
            </w:r>
          </w:p>
        </w:tc>
      </w:tr>
    </w:tbl>
    <w:p>
      <w:pPr>
        <w:autoSpaceDN w:val="0"/>
        <w:autoSpaceDE w:val="0"/>
        <w:widowControl/>
        <w:spacing w:line="240" w:lineRule="auto" w:before="74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Использование оценок «9» и «10»</w:t>
      </w:r>
    </w:p>
    <w:p>
      <w:pPr>
        <w:autoSpaceDN w:val="0"/>
        <w:autoSpaceDE w:val="0"/>
        <w:widowControl/>
        <w:spacing w:line="266" w:lineRule="auto" w:before="20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«9» и «10» могут использоваться  преподавателем в рамках текущего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 или промежуточной аттестации по дисциплине, если студент выполняет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задания повышенной трудности и/или демонстрирует результаты обучения,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превосходящие предусмотренные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программой учебной дисциплины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программой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практики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14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* Кроме независимых экзаменов по цифровым компетенциям в бакалавриате и специалитете, где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при перезачете используется оценка не выше 8.</w:t>
      </w:r>
    </w:p>
    <w:p>
      <w:pPr>
        <w:autoSpaceDN w:val="0"/>
        <w:autoSpaceDE w:val="0"/>
        <w:widowControl/>
        <w:spacing w:line="240" w:lineRule="auto" w:before="6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Использование оценки «0»</w:t>
      </w:r>
    </w:p>
    <w:p>
      <w:pPr>
        <w:autoSpaceDN w:val="0"/>
        <w:autoSpaceDE w:val="0"/>
        <w:widowControl/>
        <w:spacing w:line="240" w:lineRule="auto" w:before="21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имеет право поставить оценку «0» в следующих случаях:</w:t>
      </w:r>
    </w:p>
    <w:p>
      <w:pPr>
        <w:autoSpaceDN w:val="0"/>
        <w:autoSpaceDE w:val="0"/>
        <w:widowControl/>
        <w:spacing w:line="264" w:lineRule="auto" w:before="260" w:after="0"/>
        <w:ind w:left="900" w:right="556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не приступал к выполнению элемента контроля на занятии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период сессии (например: сдал пустой лист, отказался от ответа, не явился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экзамен без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уважительной причины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);</w:t>
      </w:r>
    </w:p>
    <w:p>
      <w:pPr>
        <w:autoSpaceDN w:val="0"/>
        <w:autoSpaceDE w:val="0"/>
        <w:widowControl/>
        <w:spacing w:line="286" w:lineRule="auto" w:before="198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обнаружении нарушений академических норм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предусмотренных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74" w:lineRule="auto" w:before="50" w:after="0"/>
        <w:ind w:left="9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Правилами внутреннего распорядка обучающихся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таких как: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списывание при выполнении письменной работы или при подготовке к ответу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устной форме, двойная сдача письменных работ, наличие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плагиата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письменных работах, совершение подлога при выполнении письменных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устных работ, фабрикация данных и/или результатов работы,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подсказок, применение технических средств для выполнения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письменных или устных работ;</w:t>
      </w:r>
    </w:p>
    <w:p>
      <w:pPr>
        <w:autoSpaceDN w:val="0"/>
        <w:autoSpaceDE w:val="0"/>
        <w:widowControl/>
        <w:spacing w:line="271" w:lineRule="auto" w:before="246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незадекларированное использование генеративных моделей в соответствии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Регламентом организации проверки письменных учебных работ на наличие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плагиата, использования генеративных моделей и размещения выпускных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квалификационных работ обучающихся по программам бакалавриата,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специалитета и магистратуры на корпоративном сайте (портале)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69" w:lineRule="auto" w:before="260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иных случаях, установленных Положением об организации промежуточной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аттестации и текущего контроля успеваемости студентов НИУ ВШЭ (например: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материалов, запрещенных преподавателем, попытка общения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иными лицами, несанкционированные перемещения студентов и т.п.).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 xml:space="preserve">* Также за нарушение Правил внутреннего распорядка может следовать </w:t>
      </w:r>
      <w:r>
        <w:rPr>
          <w:w w:val="98.52272380482067"/>
          <w:rFonts w:ascii="Segoe UI" w:hAnsi="Segoe UI" w:eastAsia="Segoe UI"/>
          <w:b w:val="0"/>
          <w:i w:val="0"/>
          <w:color w:val="007AC5"/>
          <w:sz w:val="22"/>
        </w:rPr>
        <w:hyperlink r:id="rId29" w:history="1">
          <w:r>
            <w:rPr>
              <w:rStyle w:val="Hyperlink"/>
            </w:rPr>
            <w:t>дисциплинарное взыскание</w:t>
          </w:r>
        </w:hyperlink>
      </w: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,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недопуск к защите ВКР</w:t>
      </w:r>
    </w:p>
    <w:p>
      <w:pPr>
        <w:autoSpaceDN w:val="0"/>
        <w:autoSpaceDE w:val="0"/>
        <w:widowControl/>
        <w:spacing w:line="245" w:lineRule="auto" w:before="678" w:after="0"/>
        <w:ind w:left="300" w:right="100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Шкала соответствия оценок (при зачете результатов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предыдущего образования)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проведении зачета результатов предыдущего образования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используется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64" w:lineRule="auto" w:before="52" w:after="162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следующая шкала пересчета (по баллу, соответствующему нижней границе принятой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10-балльной шкале):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5410"/>
        <w:gridCol w:w="5410"/>
      </w:tblGrid>
      <w:tr>
        <w:trPr>
          <w:trHeight w:hRule="exact" w:val="1648"/>
        </w:trPr>
        <w:tc>
          <w:tcPr>
            <w:tcW w:type="dxa" w:w="5130"/>
            <w:tcBorders>
              <w:start w:sz="5.600000000000023" w:val="single" w:color="#000000"/>
              <w:top w:sz="5.60000000000002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2" w:after="0"/>
              <w:ind w:left="128" w:right="72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Оценка за освоенную дисциплину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 5-балльной шкале/ буквенной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шкале</w:t>
            </w:r>
          </w:p>
        </w:tc>
        <w:tc>
          <w:tcPr>
            <w:tcW w:type="dxa" w:w="5070"/>
            <w:tcBorders>
              <w:start w:sz="6.400000000000091" w:val="single" w:color="#000000"/>
              <w:top w:sz="5.600000000000023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52" w:after="0"/>
              <w:ind w:left="122" w:right="576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Оценка по 10-балльной шкале НИУ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ВШЭ</w:t>
            </w:r>
          </w:p>
        </w:tc>
      </w:tr>
      <w:tr>
        <w:trPr>
          <w:trHeight w:hRule="exact" w:val="872"/>
        </w:trPr>
        <w:tc>
          <w:tcPr>
            <w:tcW w:type="dxa" w:w="5130"/>
            <w:tcBorders>
              <w:start w:sz="5.600000000000023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Отлично/ A</w:t>
            </w:r>
          </w:p>
        </w:tc>
        <w:tc>
          <w:tcPr>
            <w:tcW w:type="dxa" w:w="507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8</w:t>
            </w:r>
          </w:p>
        </w:tc>
      </w:tr>
      <w:tr>
        <w:trPr>
          <w:trHeight w:hRule="exact" w:val="868"/>
        </w:trPr>
        <w:tc>
          <w:tcPr>
            <w:tcW w:type="dxa" w:w="5130"/>
            <w:tcBorders>
              <w:start w:sz="5.600000000000023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Хорошо/ B</w:t>
            </w:r>
          </w:p>
        </w:tc>
        <w:tc>
          <w:tcPr>
            <w:tcW w:type="dxa" w:w="5070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6</w:t>
            </w:r>
          </w:p>
        </w:tc>
      </w:tr>
      <w:tr>
        <w:trPr>
          <w:trHeight w:hRule="exact" w:val="870"/>
        </w:trPr>
        <w:tc>
          <w:tcPr>
            <w:tcW w:type="dxa" w:w="5130"/>
            <w:tcBorders>
              <w:start w:sz="5.600000000000023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Удовлетворительно/ C</w:t>
            </w:r>
          </w:p>
        </w:tc>
        <w:tc>
          <w:tcPr>
            <w:tcW w:type="dxa" w:w="507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4</w:t>
            </w:r>
          </w:p>
        </w:tc>
      </w:tr>
      <w:tr>
        <w:trPr>
          <w:trHeight w:hRule="exact" w:val="870"/>
        </w:trPr>
        <w:tc>
          <w:tcPr>
            <w:tcW w:type="dxa" w:w="5130"/>
            <w:tcBorders>
              <w:start w:sz="5.600000000000023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Зачтено/ Pass</w:t>
            </w:r>
          </w:p>
        </w:tc>
        <w:tc>
          <w:tcPr>
            <w:tcW w:type="dxa" w:w="5070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Зачтено</w:t>
            </w:r>
          </w:p>
        </w:tc>
      </w:tr>
    </w:tbl>
    <w:p>
      <w:pPr>
        <w:autoSpaceDN w:val="0"/>
        <w:autoSpaceDE w:val="0"/>
        <w:widowControl/>
        <w:spacing w:line="312" w:lineRule="auto" w:before="382" w:after="0"/>
        <w:ind w:left="300" w:right="288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* При переводе студента из другой образовательной организации высшего образования в НИУ ВШЭ,</w:t>
      </w: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переводе студента с одной образовательной программы на другую внутри НИУ ВШЭ, зачислении</w:t>
      </w: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в НИУ ВШЭ в качестве экстерна, зачете в нормативный объем образовательной программы</w:t>
      </w: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результатов освоения элементов образования, пройденные в других организациях в рамках</w:t>
      </w: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обучения по индивидуальному учебному плану при академической мобильности или инициативно</w:t>
      </w: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и в других случаях.</w:t>
      </w:r>
    </w:p>
    <w:p>
      <w:pPr>
        <w:autoSpaceDN w:val="0"/>
        <w:autoSpaceDE w:val="0"/>
        <w:widowControl/>
        <w:spacing w:line="240" w:lineRule="auto" w:before="6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66" w:lineRule="auto" w:before="216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Правила внутреннего распорядка обучающихся НИУ ВШЭ</w:t>
          </w:r>
        </w:hyperlink>
      </w:r>
    </w:p>
    <w:p>
      <w:pPr>
        <w:autoSpaceDN w:val="0"/>
        <w:autoSpaceDE w:val="0"/>
        <w:widowControl/>
        <w:spacing w:line="269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Регламент организации проверки письменных учебных работ на наличие плагиата,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использования генеративных моделей и размещения выпускных квалификационных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работ обучающихся по программам бакалавриата, специалитета и магистратуры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корпоративном сайте (портале) НИУ ВШЭ</w:t>
          </w:r>
        </w:hyperlink>
      </w:r>
    </w:p>
    <w:p>
      <w:pPr>
        <w:autoSpaceDN w:val="0"/>
        <w:autoSpaceDE w:val="0"/>
        <w:widowControl/>
        <w:spacing w:line="257" w:lineRule="auto" w:before="262" w:after="0"/>
        <w:ind w:left="300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 НИУ ВШЭ об утверждении шкалы соответствия оценок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 23.06.2022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№ 6.18.1-01/230622-3</w:t>
          </w:r>
        </w:hyperlink>
      </w:r>
    </w:p>
    <w:p>
      <w:pPr>
        <w:sectPr>
          <w:pgSz w:w="11918" w:h="16858"/>
          <w:pgMar w:top="326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Положение о порядке проведения аттестации и зачета результатов предыдущего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образования при освоении образовательных программ высшего образования —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программ бакалавриата, специалитета и магистратуры в НИУ ВШЭ</w:t>
          </w:r>
        </w:hyperlink>
      </w:r>
    </w:p>
    <w:p>
      <w:pPr>
        <w:autoSpaceDN w:val="0"/>
        <w:autoSpaceDE w:val="0"/>
        <w:widowControl/>
        <w:spacing w:line="240" w:lineRule="auto" w:before="160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2184400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2565400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3067050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Прием в магистратуру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4047490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cale/#oz" TargetMode="External"/><Relationship Id="rId12" Type="http://schemas.openxmlformats.org/officeDocument/2006/relationships/hyperlink" Target="https://www.hse.ru/studyspravka/Scale/#excellent" TargetMode="External"/><Relationship Id="rId13" Type="http://schemas.openxmlformats.org/officeDocument/2006/relationships/hyperlink" Target="https://www.hse.ru/studyspravka/Scale/#null" TargetMode="External"/><Relationship Id="rId14" Type="http://schemas.openxmlformats.org/officeDocument/2006/relationships/hyperlink" Target="https://www.hse.ru/studyspravka/Scale/#zach" TargetMode="External"/><Relationship Id="rId15" Type="http://schemas.openxmlformats.org/officeDocument/2006/relationships/hyperlink" Target="https://www.hse.ru/studyspravka/Scale/#docs" TargetMode="External"/><Relationship Id="rId16" Type="http://schemas.openxmlformats.org/officeDocument/2006/relationships/hyperlink" Target="https://www.hse.ru/studyspravka/zachetbook" TargetMode="External"/><Relationship Id="rId17" Type="http://schemas.openxmlformats.org/officeDocument/2006/relationships/hyperlink" Target="https://www.hse.ru/studyspravka/kontr/" TargetMode="External"/><Relationship Id="rId18" Type="http://schemas.openxmlformats.org/officeDocument/2006/relationships/hyperlink" Target="https://www.hse.ru/studyspravka/perezach" TargetMode="External"/><Relationship Id="rId19" Type="http://schemas.openxmlformats.org/officeDocument/2006/relationships/hyperlink" Target="https://www.hse.ru/studyspravka/examsdataculture" TargetMode="External"/><Relationship Id="rId20" Type="http://schemas.openxmlformats.org/officeDocument/2006/relationships/hyperlink" Target="https://www.hse.ru/studyspravka/programme_change" TargetMode="External"/><Relationship Id="rId21" Type="http://schemas.openxmlformats.org/officeDocument/2006/relationships/hyperlink" Target="https://www.hse.ru/studyspravka/transfer" TargetMode="External"/><Relationship Id="rId22" Type="http://schemas.openxmlformats.org/officeDocument/2006/relationships/hyperlink" Target="https://www.hse.ru/studyspravka/eds" TargetMode="External"/><Relationship Id="rId23" Type="http://schemas.openxmlformats.org/officeDocument/2006/relationships/image" Target="media/image1.png"/><Relationship Id="rId24" Type="http://schemas.openxmlformats.org/officeDocument/2006/relationships/image" Target="media/image2.png"/><Relationship Id="rId25" Type="http://schemas.openxmlformats.org/officeDocument/2006/relationships/hyperlink" Target="https://www.hse.ru/studyspravka/syllabus" TargetMode="External"/><Relationship Id="rId26" Type="http://schemas.openxmlformats.org/officeDocument/2006/relationships/hyperlink" Target="https://www.hse.ru/studyspravka/practice" TargetMode="External"/><Relationship Id="rId27" Type="http://schemas.openxmlformats.org/officeDocument/2006/relationships/hyperlink" Target="https://www.hse.ru/studyspravka/medcert" TargetMode="External"/><Relationship Id="rId28" Type="http://schemas.openxmlformats.org/officeDocument/2006/relationships/hyperlink" Target="https://www.hse.ru/docs/187025700.html" TargetMode="External"/><Relationship Id="rId29" Type="http://schemas.openxmlformats.org/officeDocument/2006/relationships/hyperlink" Target="https://www.hse.ru/studyspravka/plagiat" TargetMode="External"/><Relationship Id="rId30" Type="http://schemas.openxmlformats.org/officeDocument/2006/relationships/hyperlink" Target="https://www.hse.ru/docs/922831988.html" TargetMode="External"/><Relationship Id="rId31" Type="http://schemas.openxmlformats.org/officeDocument/2006/relationships/hyperlink" Target="https://www.hse.ru/docs/1026832917.html" TargetMode="External"/><Relationship Id="rId32" Type="http://schemas.openxmlformats.org/officeDocument/2006/relationships/hyperlink" Target="https://www.hse.ru/docs/670726351.html" TargetMode="External"/><Relationship Id="rId33" Type="http://schemas.openxmlformats.org/officeDocument/2006/relationships/hyperlink" Target="https://www.hse.ru/docs/838685738.html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hyperlink" Target="https://www.hse.ru/org/hse/info/" TargetMode="External"/><Relationship Id="rId38" Type="http://schemas.openxmlformats.org/officeDocument/2006/relationships/hyperlink" Target="https://figures.hse.ru/" TargetMode="External"/><Relationship Id="rId39" Type="http://schemas.openxmlformats.org/officeDocument/2006/relationships/hyperlink" Target="https://www.hse.ru/orgstructure/" TargetMode="External"/><Relationship Id="rId40" Type="http://schemas.openxmlformats.org/officeDocument/2006/relationships/hyperlink" Target="https://sustainability.hse.ru/" TargetMode="External"/><Relationship Id="rId41" Type="http://schemas.openxmlformats.org/officeDocument/2006/relationships/hyperlink" Target="https://www.hse.ru/org/persons/" TargetMode="External"/><Relationship Id="rId42" Type="http://schemas.openxmlformats.org/officeDocument/2006/relationships/hyperlink" Target="https://www.hse.ru/buildinghse" TargetMode="External"/><Relationship Id="rId43" Type="http://schemas.openxmlformats.org/officeDocument/2006/relationships/hyperlink" Target="https://www.hse.ru/org/hse/aup/procurement/" TargetMode="External"/><Relationship Id="rId44" Type="http://schemas.openxmlformats.org/officeDocument/2006/relationships/hyperlink" Target="https://www.hse.ru/appeal/" TargetMode="External"/><Relationship Id="rId45" Type="http://schemas.openxmlformats.org/officeDocument/2006/relationships/hyperlink" Target="https://endowment.hse.ru/" TargetMode="External"/><Relationship Id="rId46" Type="http://schemas.openxmlformats.org/officeDocument/2006/relationships/hyperlink" Target="https://www.hse.ru/anticorruption" TargetMode="External"/><Relationship Id="rId47" Type="http://schemas.openxmlformats.org/officeDocument/2006/relationships/hyperlink" Target="https://www.hse.ru/anticorruption/information" TargetMode="External"/><Relationship Id="rId48" Type="http://schemas.openxmlformats.org/officeDocument/2006/relationships/hyperlink" Target="https://www.hse.ru/sveden/" TargetMode="External"/><Relationship Id="rId49" Type="http://schemas.openxmlformats.org/officeDocument/2006/relationships/hyperlink" Target="https://inclusive.hse.ru/" TargetMode="External"/><Relationship Id="rId50" Type="http://schemas.openxmlformats.org/officeDocument/2006/relationships/hyperlink" Target="https://pay.hse.ru/" TargetMode="External"/><Relationship Id="rId51" Type="http://schemas.openxmlformats.org/officeDocument/2006/relationships/hyperlink" Target="https://www.hse.ru/career" TargetMode="External"/><Relationship Id="rId52" Type="http://schemas.openxmlformats.org/officeDocument/2006/relationships/hyperlink" Target="https://www.hse.ru/education/" TargetMode="External"/><Relationship Id="rId53" Type="http://schemas.openxmlformats.org/officeDocument/2006/relationships/hyperlink" Target="https://school.hse.ru/" TargetMode="External"/><Relationship Id="rId54" Type="http://schemas.openxmlformats.org/officeDocument/2006/relationships/hyperlink" Target="https://fdp.hse.ru/" TargetMode="External"/><Relationship Id="rId55" Type="http://schemas.openxmlformats.org/officeDocument/2006/relationships/hyperlink" Target="https://olymp.hse.ru/" TargetMode="External"/><Relationship Id="rId56" Type="http://schemas.openxmlformats.org/officeDocument/2006/relationships/hyperlink" Target="https://ba.hse.ru/" TargetMode="External"/><Relationship Id="rId57" Type="http://schemas.openxmlformats.org/officeDocument/2006/relationships/hyperlink" Target="https://www.hse.ru/plus" TargetMode="External"/><Relationship Id="rId58" Type="http://schemas.openxmlformats.org/officeDocument/2006/relationships/hyperlink" Target="https://ma.hse.ru/" TargetMode="External"/><Relationship Id="rId59" Type="http://schemas.openxmlformats.org/officeDocument/2006/relationships/hyperlink" Target="https://aspirantura.hse.ru/" TargetMode="External"/><Relationship Id="rId60" Type="http://schemas.openxmlformats.org/officeDocument/2006/relationships/hyperlink" Target="https://busedu.hse.ru/" TargetMode="External"/><Relationship Id="rId61" Type="http://schemas.openxmlformats.org/officeDocument/2006/relationships/hyperlink" Target="https://career.hse.ru/" TargetMode="External"/><Relationship Id="rId62" Type="http://schemas.openxmlformats.org/officeDocument/2006/relationships/hyperlink" Target="http://inc.hse.ru/" TargetMode="External"/><Relationship Id="rId63" Type="http://schemas.openxmlformats.org/officeDocument/2006/relationships/hyperlink" Target="https://dd.hse.ru/" TargetMode="External"/><Relationship Id="rId64" Type="http://schemas.openxmlformats.org/officeDocument/2006/relationships/hyperlink" Target="https://www.hse.ru/feedback" TargetMode="External"/><Relationship Id="rId65" Type="http://schemas.openxmlformats.org/officeDocument/2006/relationships/hyperlink" Target="https://www.hse.ru/science/" TargetMode="External"/><Relationship Id="rId66" Type="http://schemas.openxmlformats.org/officeDocument/2006/relationships/hyperlink" Target="https://www.hse.ru/science/centers" TargetMode="External"/><Relationship Id="rId67" Type="http://schemas.openxmlformats.org/officeDocument/2006/relationships/hyperlink" Target="https://www.hse.ru/org/projects/" TargetMode="External"/><Relationship Id="rId68" Type="http://schemas.openxmlformats.org/officeDocument/2006/relationships/hyperlink" Target="https://www.hse.ru/monitoring/" TargetMode="External"/><Relationship Id="rId69" Type="http://schemas.openxmlformats.org/officeDocument/2006/relationships/hyperlink" Target="https://www.hse.ru/science/disscoun/" TargetMode="External"/><Relationship Id="rId70" Type="http://schemas.openxmlformats.org/officeDocument/2006/relationships/hyperlink" Target="https://aspirantura.hse.ru/defence/announcements/" TargetMode="External"/><Relationship Id="rId71" Type="http://schemas.openxmlformats.org/officeDocument/2006/relationships/hyperlink" Target="https://academics.hse.ru/" TargetMode="External"/><Relationship Id="rId72" Type="http://schemas.openxmlformats.org/officeDocument/2006/relationships/hyperlink" Target="https://www.hse.ru/science/hsegrants" TargetMode="External"/><Relationship Id="rId73" Type="http://schemas.openxmlformats.org/officeDocument/2006/relationships/hyperlink" Target="https://sezam.hse.ru/" TargetMode="External"/><Relationship Id="rId74" Type="http://schemas.openxmlformats.org/officeDocument/2006/relationships/hyperlink" Target="https://publications.hse.ru/" TargetMode="External"/><Relationship Id="rId75" Type="http://schemas.openxmlformats.org/officeDocument/2006/relationships/hyperlink" Target="https://library.hse.ru/" TargetMode="External"/><Relationship Id="rId76" Type="http://schemas.openxmlformats.org/officeDocument/2006/relationships/hyperlink" Target="https://id.hse.ru/" TargetMode="External"/><Relationship Id="rId77" Type="http://schemas.openxmlformats.org/officeDocument/2006/relationships/hyperlink" Target="https://bookshop.hse.ru/" TargetMode="External"/><Relationship Id="rId78" Type="http://schemas.openxmlformats.org/officeDocument/2006/relationships/hyperlink" Target="https://print.hse.ru/" TargetMode="External"/><Relationship Id="rId79" Type="http://schemas.openxmlformats.org/officeDocument/2006/relationships/hyperlink" Target="https://mc.hse.ru/" TargetMode="External"/><Relationship Id="rId80" Type="http://schemas.openxmlformats.org/officeDocument/2006/relationships/hyperlink" Target="https://www.hse.ru/science/journals" TargetMode="External"/><Relationship Id="rId81" Type="http://schemas.openxmlformats.org/officeDocument/2006/relationships/hyperlink" Target="http://www.minobrnauki.gov.ru/" TargetMode="External"/><Relationship Id="rId82" Type="http://schemas.openxmlformats.org/officeDocument/2006/relationships/hyperlink" Target="https://edu.gov.ru/" TargetMode="External"/><Relationship Id="rId83" Type="http://schemas.openxmlformats.org/officeDocument/2006/relationships/hyperlink" Target="http://www.edu.ru/" TargetMode="External"/><Relationship Id="rId84" Type="http://schemas.openxmlformats.org/officeDocument/2006/relationships/hyperlink" Target="https://elearning.hse.ru/mooc" TargetMode="External"/><Relationship Id="rId85" Type="http://schemas.openxmlformats.org/officeDocument/2006/relationships/hyperlink" Target="https://www.hse.ru/adm/edit/edit.html?goto=%2AL3N0dWR5c3ByYXZrYS9TY2FsZT9fcj0zNjIyODg5MTc3NTA4MTc0NS40MjAzNg%3D%3D%5E&amp;id=185384806&amp;cid=20594&amp;addon_name=default&amp;newportal=1" TargetMode="External"/><Relationship Id="rId86" Type="http://schemas.openxmlformats.org/officeDocument/2006/relationships/hyperlink" Target="https://www.hse.ru/contacts.html" TargetMode="External"/><Relationship Id="rId87" Type="http://schemas.openxmlformats.org/officeDocument/2006/relationships/hyperlink" Target="https://www.hse.ru/copyright" TargetMode="External"/><Relationship Id="rId88" Type="http://schemas.openxmlformats.org/officeDocument/2006/relationships/hyperlink" Target="https://www.hse.ru/data_protection_regulation" TargetMode="External"/><Relationship Id="rId89" Type="http://schemas.openxmlformats.org/officeDocument/2006/relationships/hyperlink" Target="https://www.hse.ru/sitemap.html" TargetMode="External"/><Relationship Id="rId90" Type="http://schemas.openxmlformats.org/officeDocument/2006/relationships/hyperlink" Target="https://design.hse.ru/" TargetMode="External"/><Relationship Id="rId9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