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7277100</wp:posOffset>
            </wp:positionV>
            <wp:extent cx="6502400" cy="812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12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2981960</wp:posOffset>
            </wp:positionH>
            <wp:positionV relativeFrom="page">
              <wp:posOffset>7600950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4" w:val="left"/>
          <w:tab w:pos="9662" w:val="left"/>
        </w:tabs>
        <w:autoSpaceDE w:val="0"/>
        <w:widowControl/>
        <w:spacing w:line="283" w:lineRule="auto" w:before="198" w:after="0"/>
        <w:ind w:left="272" w:right="0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0" w:right="216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Культура работы с данными (Data Culture) 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бакалавриате</w:t>
      </w:r>
    </w:p>
    <w:p>
      <w:pPr>
        <w:autoSpaceDN w:val="0"/>
        <w:autoSpaceDE w:val="0"/>
        <w:widowControl/>
        <w:spacing w:line="264" w:lineRule="auto" w:before="378" w:after="0"/>
        <w:ind w:left="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Культура работы с данными 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Data Culture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 — это проект Вышки, который помогает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 освоить цифровые компетенции.</w:t>
      </w:r>
    </w:p>
    <w:p>
      <w:pPr>
        <w:autoSpaceDN w:val="0"/>
        <w:tabs>
          <w:tab w:pos="586" w:val="left"/>
        </w:tabs>
        <w:autoSpaceDE w:val="0"/>
        <w:widowControl/>
        <w:spacing w:line="336" w:lineRule="auto" w:before="262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 еще это одноименный модуль учебного плана образовательной программы,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который состоит из трех дисциплин, каждая из которых — цифровая компетенция: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Цифровая грамотность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Алгоритмическое мышление и программирование (Программирование)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Анализ данных и методы искусственного интеллекта (Анализ данных)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Их изучают все образовательные программы бакалавриата и специалитета, но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разных уровнях. Результат измерения идет в диплом и вместе с дипломом выдается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сертификат, в котором отражен интегрированный показатель цифровых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компетенций.</w:t>
      </w:r>
    </w:p>
    <w:p>
      <w:pPr>
        <w:autoSpaceDN w:val="0"/>
        <w:autoSpaceDE w:val="0"/>
        <w:widowControl/>
        <w:spacing w:line="240" w:lineRule="auto" w:before="704" w:after="646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Цифровые компетенции: подробнее о каждой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1222"/>
        </w:trPr>
        <w:tc>
          <w:tcPr>
            <w:tcW w:type="dxa" w:w="63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Цифровая грамотность </w:t>
            </w:r>
          </w:p>
        </w:tc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4"/>
        </w:trPr>
        <w:tc>
          <w:tcPr>
            <w:tcW w:type="dxa" w:w="33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44"/>
            </w:tblGrid>
            <w:tr>
              <w:trPr>
                <w:trHeight w:hRule="exact" w:val="1254"/>
              </w:trPr>
              <w:tc>
                <w:tcPr>
                  <w:tcW w:type="dxa" w:w="3324"/>
                  <w:tcBorders/>
                  <w:shd w:fill="def2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Программирование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2677160</wp:posOffset>
                  </wp:positionH>
                  <wp:positionV relativeFrom="page">
                    <wp:posOffset>8600440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554"/>
        </w:trPr>
        <w:tc>
          <w:tcPr>
            <w:tcW w:type="dxa" w:w="26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624"/>
            </w:tblGrid>
            <w:tr>
              <w:trPr>
                <w:trHeight w:hRule="exact" w:val="1254"/>
              </w:trPr>
              <w:tc>
                <w:tcPr>
                  <w:tcW w:type="dxa" w:w="2624"/>
                  <w:tcBorders/>
                  <w:shd w:fill="edf5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1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 xml:space="preserve">Анализ данных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3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2228850</wp:posOffset>
                  </wp:positionH>
                  <wp:positionV relativeFrom="page">
                    <wp:posOffset>9601200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3581400</wp:posOffset>
            </wp:positionV>
            <wp:extent cx="2802890" cy="38091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3809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9878060</wp:posOffset>
            </wp:positionV>
            <wp:extent cx="2813050" cy="3805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3805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Экзамены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каждой компентенции есть экзамен по самой дисциплине и независимая оценка:</w:t>
      </w:r>
    </w:p>
    <w:p>
      <w:pPr>
        <w:autoSpaceDN w:val="0"/>
        <w:autoSpaceDE w:val="0"/>
        <w:widowControl/>
        <w:spacing w:line="274" w:lineRule="auto" w:before="260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Дисциплины Культуры работы с данными (Data Culture) — это такие же курсы, как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остальные на вашей программе бакалавриата. Во время их изучения вы будете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сдавать контрольные и тесты, делать проекты и писать экзамен (но внимательно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смотрите ПУД! преподаватели могут выбрать другие элементы контроля). Три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дисциплины = три экзамена по ним.</w:t>
      </w:r>
    </w:p>
    <w:p>
      <w:pPr>
        <w:autoSpaceDN w:val="0"/>
        <w:autoSpaceDE w:val="0"/>
        <w:widowControl/>
        <w:spacing w:line="264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●  Через некоторое время после завершения курса вы сдадите независимый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(НЭ). Всего их три — по числу цифровых компетенций. Независимый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проверит, насколько хорошо вы освоили цифровые компетенции в целом.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15" w:history="1">
          <w:r>
            <w:rPr>
              <w:rStyle w:val="Hyperlink"/>
            </w:rPr>
            <w:t>Подробнее про НЭ</w:t>
          </w:r>
        </w:hyperlink>
      </w:r>
    </w:p>
    <w:p>
      <w:pPr>
        <w:autoSpaceDN w:val="0"/>
        <w:autoSpaceDE w:val="0"/>
        <w:widowControl/>
        <w:spacing w:line="240" w:lineRule="auto" w:before="64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Внешняя оценка</w:t>
      </w:r>
    </w:p>
    <w:p>
      <w:pPr>
        <w:autoSpaceDN w:val="0"/>
        <w:autoSpaceDE w:val="0"/>
        <w:widowControl/>
        <w:spacing w:line="257" w:lineRule="auto" w:before="22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Внешнее тестирование университета Иннополис — серия тестов, которая оценивает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прогресс студентов Вышки в цифровых компетенциях.</w:t>
      </w:r>
    </w:p>
    <w:p>
      <w:pPr>
        <w:autoSpaceDN w:val="0"/>
        <w:autoSpaceDE w:val="0"/>
        <w:widowControl/>
        <w:spacing w:line="264" w:lineRule="auto" w:before="262" w:after="0"/>
        <w:ind w:left="30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Его проводят в 3 этапа: входной, промежуточный и итоговый. При этом уровень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сложности и темы заданий не меняются, чтобы отследить прирост знаний.</w:t>
      </w:r>
    </w:p>
    <w:p>
      <w:pPr>
        <w:autoSpaceDN w:val="0"/>
        <w:autoSpaceDE w:val="0"/>
        <w:widowControl/>
        <w:spacing w:line="269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 прохождение теста на любой балл в диплом идет «зачет», но если экзамен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проигнорировать, то возникнет академическая задолженность. Даже если пропуск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причине, то Иннополис обязательно надо сдать в течение шести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месяцев от изначальной даты проведения.</w:t>
      </w:r>
    </w:p>
    <w:p>
      <w:pPr>
        <w:autoSpaceDN w:val="0"/>
        <w:autoSpaceDE w:val="0"/>
        <w:widowControl/>
        <w:spacing w:line="271" w:lineRule="auto" w:before="262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есть нюанс: если очередная оценка по внешнему тестированию ниже оценки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любому предыдущему этапу на два балла или более (есть отрицательная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динамика) – все ранее проведенные зачеты по цифровым компетенциям на лучшую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оценку аннулируются и восстанавливаются результаты сдачи НЭ и экзаменов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дисциплинам — в том числе задолженности, которые придется пересдавать.</w:t>
      </w:r>
    </w:p>
    <w:p>
      <w:pPr>
        <w:autoSpaceDN w:val="0"/>
        <w:autoSpaceDE w:val="0"/>
        <w:widowControl/>
        <w:spacing w:line="271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 есть и хорошие новости: эту внешнюю оценку можно использовать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перезачета оценок по НЭ и дисциплинам Data Culture если ранее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полученная положительная оценка по соответствующему НЭ ниже, чем оценка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Иннополису, а оценка по очередному этапу Иннополиса не отличается от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предыдущих на два балла и более.</w:t>
      </w:r>
    </w:p>
    <w:p>
      <w:pPr>
        <w:autoSpaceDN w:val="0"/>
        <w:autoSpaceDE w:val="0"/>
        <w:widowControl/>
        <w:spacing w:line="240" w:lineRule="auto" w:before="396" w:after="0"/>
        <w:ind w:left="55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FFFF"/>
          <w:sz w:val="26"/>
        </w:rPr>
        <w:hyperlink r:id="rId16" w:history="1">
          <w:r>
            <w:rPr>
              <w:rStyle w:val="Hyperlink"/>
            </w:rPr>
            <w:t>Подробнее про Иннополис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40" w:lineRule="auto" w:before="226" w:after="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Концепция развития цифровых компетенций студентов НИУ ВШЭ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1943100</wp:posOffset>
            </wp:positionV>
            <wp:extent cx="50800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2324100</wp:posOffset>
            </wp:positionV>
            <wp:extent cx="1346200" cy="304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2819400</wp:posOffset>
            </wp:positionV>
            <wp:extent cx="228600" cy="228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169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8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Вышка+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4295140</wp:posOffset>
            </wp:positionV>
            <wp:extent cx="6877050" cy="45698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1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0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ataculture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studyspravka/examsdataculture#internal" TargetMode="External"/><Relationship Id="rId16" Type="http://schemas.openxmlformats.org/officeDocument/2006/relationships/hyperlink" Target="https://www.hse.ru/studyspravka/examsdataculture#external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ww.hse.ru/docs/969670971.html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hyperlink" Target="https://www.hse.ru/education/" TargetMode="External"/><Relationship Id="rId39" Type="http://schemas.openxmlformats.org/officeDocument/2006/relationships/hyperlink" Target="https://school.hse.ru/" TargetMode="External"/><Relationship Id="rId40" Type="http://schemas.openxmlformats.org/officeDocument/2006/relationships/hyperlink" Target="https://fdp.hse.ru/" TargetMode="External"/><Relationship Id="rId41" Type="http://schemas.openxmlformats.org/officeDocument/2006/relationships/hyperlink" Target="https://olymp.hse.ru/" TargetMode="External"/><Relationship Id="rId42" Type="http://schemas.openxmlformats.org/officeDocument/2006/relationships/hyperlink" Target="https://ba.hse.ru/" TargetMode="External"/><Relationship Id="rId43" Type="http://schemas.openxmlformats.org/officeDocument/2006/relationships/hyperlink" Target="https://www.hse.ru/plus" TargetMode="External"/><Relationship Id="rId44" Type="http://schemas.openxmlformats.org/officeDocument/2006/relationships/hyperlink" Target="https://ma.hse.ru/" TargetMode="External"/><Relationship Id="rId45" Type="http://schemas.openxmlformats.org/officeDocument/2006/relationships/hyperlink" Target="https://aspirantura.hse.ru/" TargetMode="External"/><Relationship Id="rId46" Type="http://schemas.openxmlformats.org/officeDocument/2006/relationships/hyperlink" Target="https://busedu.hse.ru/" TargetMode="External"/><Relationship Id="rId47" Type="http://schemas.openxmlformats.org/officeDocument/2006/relationships/hyperlink" Target="https://career.hse.ru/" TargetMode="External"/><Relationship Id="rId48" Type="http://schemas.openxmlformats.org/officeDocument/2006/relationships/hyperlink" Target="http://inc.hse.ru/" TargetMode="External"/><Relationship Id="rId49" Type="http://schemas.openxmlformats.org/officeDocument/2006/relationships/hyperlink" Target="https://dd.hse.ru/" TargetMode="External"/><Relationship Id="rId50" Type="http://schemas.openxmlformats.org/officeDocument/2006/relationships/hyperlink" Target="https://www.hse.ru/feedback" TargetMode="External"/><Relationship Id="rId51" Type="http://schemas.openxmlformats.org/officeDocument/2006/relationships/hyperlink" Target="https://www.hse.ru/science/" TargetMode="External"/><Relationship Id="rId52" Type="http://schemas.openxmlformats.org/officeDocument/2006/relationships/hyperlink" Target="https://www.hse.ru/science/centers" TargetMode="External"/><Relationship Id="rId53" Type="http://schemas.openxmlformats.org/officeDocument/2006/relationships/hyperlink" Target="https://www.hse.ru/org/projects/" TargetMode="External"/><Relationship Id="rId54" Type="http://schemas.openxmlformats.org/officeDocument/2006/relationships/hyperlink" Target="https://www.hse.ru/monitoring/" TargetMode="External"/><Relationship Id="rId55" Type="http://schemas.openxmlformats.org/officeDocument/2006/relationships/hyperlink" Target="https://www.hse.ru/science/disscoun/" TargetMode="External"/><Relationship Id="rId56" Type="http://schemas.openxmlformats.org/officeDocument/2006/relationships/hyperlink" Target="https://aspirantura.hse.ru/defence/announcements/" TargetMode="External"/><Relationship Id="rId57" Type="http://schemas.openxmlformats.org/officeDocument/2006/relationships/hyperlink" Target="https://academics.hse.ru/" TargetMode="External"/><Relationship Id="rId58" Type="http://schemas.openxmlformats.org/officeDocument/2006/relationships/hyperlink" Target="https://www.hse.ru/science/hsegrants" TargetMode="External"/><Relationship Id="rId59" Type="http://schemas.openxmlformats.org/officeDocument/2006/relationships/hyperlink" Target="https://sezam.hse.ru/" TargetMode="External"/><Relationship Id="rId60" Type="http://schemas.openxmlformats.org/officeDocument/2006/relationships/hyperlink" Target="https://publications.hse.ru/" TargetMode="External"/><Relationship Id="rId61" Type="http://schemas.openxmlformats.org/officeDocument/2006/relationships/hyperlink" Target="https://library.hse.ru/" TargetMode="External"/><Relationship Id="rId62" Type="http://schemas.openxmlformats.org/officeDocument/2006/relationships/hyperlink" Target="https://id.hse.ru/" TargetMode="External"/><Relationship Id="rId63" Type="http://schemas.openxmlformats.org/officeDocument/2006/relationships/hyperlink" Target="https://bookshop.hse.ru/" TargetMode="External"/><Relationship Id="rId64" Type="http://schemas.openxmlformats.org/officeDocument/2006/relationships/hyperlink" Target="https://print.hse.ru/" TargetMode="External"/><Relationship Id="rId65" Type="http://schemas.openxmlformats.org/officeDocument/2006/relationships/hyperlink" Target="https://mc.hse.ru/" TargetMode="External"/><Relationship Id="rId66" Type="http://schemas.openxmlformats.org/officeDocument/2006/relationships/hyperlink" Target="https://www.hse.ru/science/journals" TargetMode="External"/><Relationship Id="rId67" Type="http://schemas.openxmlformats.org/officeDocument/2006/relationships/hyperlink" Target="http://www.minobrnauki.gov.ru/" TargetMode="External"/><Relationship Id="rId68" Type="http://schemas.openxmlformats.org/officeDocument/2006/relationships/hyperlink" Target="https://edu.gov.ru/" TargetMode="External"/><Relationship Id="rId69" Type="http://schemas.openxmlformats.org/officeDocument/2006/relationships/hyperlink" Target="http://www.edu.ru/" TargetMode="External"/><Relationship Id="rId70" Type="http://schemas.openxmlformats.org/officeDocument/2006/relationships/hyperlink" Target="https://elearning.hse.ru/mooc" TargetMode="External"/><Relationship Id="rId71" Type="http://schemas.openxmlformats.org/officeDocument/2006/relationships/hyperlink" Target="https://www.hse.ru/adm/edit/edit.html?goto=%2AL3N0dWR5c3ByYXZrYS9kYXRhY3VsdHVyZT9fcj0zNjIyNTk5MTc3NTA4MTIwNi40NzcyOQ%3D%3D%5E&amp;id=382978117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