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Цифровые компетенции в бакалавриате: независимые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экзамены и внешняя оценка</w:t>
      </w:r>
    </w:p>
    <w:p>
      <w:pPr>
        <w:autoSpaceDN w:val="0"/>
        <w:autoSpaceDE w:val="0"/>
        <w:widowControl/>
        <w:spacing w:line="269" w:lineRule="auto" w:before="37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Согласно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Концепции развития цифровых компетенций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каждый студент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бакалавриата и специалитета НИУ ВШЭ должен освоить три цифровые компетенции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минимально необходимом уровне, закрепленном отдельно для каждой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и направления подготовки.</w:t>
      </w:r>
    </w:p>
    <w:p>
      <w:pPr>
        <w:autoSpaceDN w:val="0"/>
        <w:autoSpaceDE w:val="0"/>
        <w:widowControl/>
        <w:spacing w:line="276" w:lineRule="auto" w:before="262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Данная инициатива отвечает на растущий спрос рынка труда на специалистов,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способных профессионально работать с данными и использовать цифровые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инструменты для обработки информации, —  для этого был создан проект Культура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с данными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Data Culture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), а учебный план каждой программы теперь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включает одноименный модуль с разными компонентами, ориентированными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достижение цифровых компетенций: это могут быть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обязательные дисциплины, дисциплины по выбору, элементы проектной 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практической подготовки.</w:t>
      </w:r>
    </w:p>
    <w:p>
      <w:pPr>
        <w:autoSpaceDN w:val="0"/>
        <w:autoSpaceDE w:val="0"/>
        <w:widowControl/>
        <w:spacing w:line="259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каждой из трех компетенций (Цифровая грамотность, Программирование, Анализ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данных) для всех студентов предусмотрены:</w:t>
      </w:r>
    </w:p>
    <w:p>
      <w:pPr>
        <w:autoSpaceDN w:val="0"/>
        <w:autoSpaceDE w:val="0"/>
        <w:widowControl/>
        <w:spacing w:line="274" w:lineRule="auto" w:before="212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а)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Учебный курс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(дисциплина-пререквизит)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который поможет освоить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66" w:lineRule="auto" w:before="50" w:after="0"/>
        <w:ind w:left="6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материал и попрактиковаться в решении задач; завершается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аттестацией, которая проводится преподавателями, которые вели занятия, даже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финальный экзамен — тест.</w:t>
      </w:r>
    </w:p>
    <w:p>
      <w:pPr>
        <w:autoSpaceDN w:val="0"/>
        <w:autoSpaceDE w:val="0"/>
        <w:widowControl/>
        <w:spacing w:line="271" w:lineRule="auto" w:before="262" w:after="0"/>
        <w:ind w:left="6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б)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Независимый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цифровым компетенциям (далее — НЭ по ЦК)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содержит задания на проверку и определение уровня сформированности той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иной цифровой компетенции из трех; проводится онлайн с применением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прокторинга. Используется единый массив заданий для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университета; разработан в НИУ ВШЭ.</w:t>
      </w:r>
    </w:p>
    <w:p>
      <w:pPr>
        <w:autoSpaceDN w:val="0"/>
        <w:autoSpaceDE w:val="0"/>
        <w:widowControl/>
        <w:spacing w:line="264" w:lineRule="auto" w:before="260" w:after="0"/>
        <w:ind w:left="6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в)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Внешняя оценка (Иннополис)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цифровых компетенций проводится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каждого из НЭ по ЦК. Эта оценка фиксирует индивидуальную динамику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2112010</wp:posOffset>
            </wp:positionV>
            <wp:extent cx="6485890" cy="43279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432792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6642100</wp:posOffset>
            </wp:positionV>
            <wp:extent cx="6485890" cy="432392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43239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и показывает относительное место студента и Вышки на</w:t>
      </w:r>
    </w:p>
    <w:p>
      <w:pPr>
        <w:autoSpaceDN w:val="0"/>
        <w:autoSpaceDE w:val="0"/>
        <w:widowControl/>
        <w:spacing w:line="240" w:lineRule="auto" w:before="52" w:after="0"/>
        <w:ind w:left="9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«всероссийской» карте цифровых навыков студентов.</w:t>
      </w:r>
    </w:p>
    <w:p>
      <w:pPr>
        <w:autoSpaceDN w:val="0"/>
        <w:autoSpaceDE w:val="0"/>
        <w:widowControl/>
        <w:spacing w:line="307" w:lineRule="auto" w:before="244" w:after="0"/>
        <w:ind w:left="9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  <w:r>
        <w:rPr>
          <w:rFonts w:ascii="Segoe UI" w:hAnsi="Segoe UI" w:eastAsia="Segoe UI"/>
          <w:b w:val="0"/>
          <w:i/>
          <w:color w:val="000000"/>
          <w:sz w:val="18"/>
        </w:rPr>
        <w:t>На некоторых образовательных программах предлагается студентам факультативно, если уровень</w:t>
      </w:r>
    </w:p>
    <w:p>
      <w:pPr>
        <w:autoSpaceDN w:val="0"/>
        <w:autoSpaceDE w:val="0"/>
        <w:widowControl/>
        <w:spacing w:line="240" w:lineRule="auto" w:before="166" w:after="0"/>
        <w:ind w:left="900" w:right="0" w:firstLine="0"/>
        <w:jc w:val="left"/>
      </w:pPr>
      <w:r>
        <w:rPr>
          <w:rFonts w:ascii="Segoe UI" w:hAnsi="Segoe UI" w:eastAsia="Segoe UI"/>
          <w:b w:val="0"/>
          <w:i/>
          <w:color w:val="000000"/>
          <w:sz w:val="18"/>
        </w:rPr>
        <w:t>математической и ИТ-подготовки высок и позволяет сдать экзамены без дополнительного курса</w:t>
      </w:r>
    </w:p>
    <w:p>
      <w:pPr>
        <w:autoSpaceDN w:val="0"/>
        <w:autoSpaceDE w:val="0"/>
        <w:widowControl/>
        <w:spacing w:line="240" w:lineRule="auto" w:before="27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этой странице перечислены основные положения по оценке цифровых</w:t>
      </w:r>
    </w:p>
    <w:p>
      <w:pPr>
        <w:autoSpaceDN w:val="0"/>
        <w:autoSpaceDE w:val="0"/>
        <w:widowControl/>
        <w:spacing w:line="240" w:lineRule="auto" w:before="50" w:after="206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компетенций в НИУ ВШЭ, они расположены в двух разделах по оглавлению.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Независимые экзамены по цифровым компетенциям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5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Даты и язык проведения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6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Материалы для подготовки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Оценки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Запись на экзамены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9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Проведение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Перенос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9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Аппеляции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9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Пересдачи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2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Отдельные случаи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2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Перезачет оценок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770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610"/>
        </w:trPr>
        <w:tc>
          <w:tcPr>
            <w:tcW w:type="dxa" w:w="10214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НЭ по ЦК происходит независимо от оценивания результатов изучения дисциплин, нацеленных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22"/>
        </w:trPr>
        <w:tc>
          <w:tcPr>
            <w:tcW w:type="dxa" w:w="9880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на развитие ЦК. На экзамене студенты обязаны продемонстрировать владение цифровыми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64"/>
        </w:trPr>
        <w:tc>
          <w:tcPr>
            <w:tcW w:type="dxa" w:w="9620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компетенциями на уровне не ниже минимально необходимого для своей программы.</w:t>
            </w:r>
          </w:p>
        </w:tc>
      </w:tr>
    </w:tbl>
    <w:p>
      <w:pPr>
        <w:autoSpaceDN w:val="0"/>
        <w:autoSpaceDE w:val="0"/>
        <w:widowControl/>
        <w:spacing w:line="7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Внешняя оценка цифровых компетенций (Иннополис)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Элементы оценки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7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Формат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2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Даты проведения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59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Оценивание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84"/>
        </w:trPr>
        <w:tc>
          <w:tcPr>
            <w:tcW w:type="dxa" w:w="63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Калькулятор оценок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75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Документы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618"/>
        </w:trPr>
        <w:tc>
          <w:tcPr>
            <w:tcW w:type="dxa" w:w="10214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Для того, чтобы определить, как цифровые компетенции студентов НИУ ВШЭ соотносятся с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44"/>
        </w:trPr>
        <w:tc>
          <w:tcPr>
            <w:tcW w:type="dxa" w:w="10180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аналогичными знаниями и умениями других студентов в Российской Федерации, проводится еще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2133600</wp:posOffset>
            </wp:positionV>
            <wp:extent cx="6502400" cy="914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1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3134360</wp:posOffset>
            </wp:positionH>
            <wp:positionV relativeFrom="page">
              <wp:posOffset>2457450</wp:posOffset>
            </wp:positionV>
            <wp:extent cx="190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10820"/>
      </w:tblGrid>
      <w:tr>
        <w:trPr>
          <w:trHeight w:hRule="exact" w:val="316"/>
        </w:trPr>
        <w:tc>
          <w:tcPr>
            <w:tcW w:type="dxa" w:w="10214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и внешняя оценка цифровых компетенций. Она обязательна для студентов образовательных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24"/>
        </w:trPr>
        <w:tc>
          <w:tcPr>
            <w:tcW w:type="dxa" w:w="9740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программ, в учебный план которых она включена, а так же для определяемых приказом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4.0" w:type="dxa"/>
      </w:tblPr>
      <w:tblGrid>
        <w:gridCol w:w="10820"/>
      </w:tblGrid>
      <w:tr>
        <w:trPr>
          <w:trHeight w:hRule="exact" w:val="356"/>
        </w:trPr>
        <w:tc>
          <w:tcPr>
            <w:tcW w:type="dxa" w:w="6960"/>
            <w:tcBorders/>
            <w:shd w:fill="f6f6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31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1"/>
              </w:rPr>
              <w:t>координирующего проректора.</w:t>
            </w:r>
          </w:p>
        </w:tc>
      </w:tr>
    </w:tbl>
    <w:p>
      <w:pPr>
        <w:autoSpaceDN w:val="0"/>
        <w:autoSpaceDE w:val="0"/>
        <w:widowControl/>
        <w:spacing w:line="240" w:lineRule="auto" w:before="940" w:after="66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Независимые экзамены по цифровым компетенциям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3607"/>
        <w:gridCol w:w="3607"/>
        <w:gridCol w:w="3607"/>
      </w:tblGrid>
      <w:tr>
        <w:trPr>
          <w:trHeight w:hRule="exact" w:val="1386"/>
        </w:trPr>
        <w:tc>
          <w:tcPr>
            <w:tcW w:type="dxa" w:w="4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Даты и язык проведения </w:t>
            </w: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4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440"/>
        </w:trPr>
        <w:tc>
          <w:tcPr>
            <w:tcW w:type="dxa" w:w="44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44"/>
            </w:tblGrid>
            <w:tr>
              <w:trPr>
                <w:trHeight w:hRule="exact" w:val="1420"/>
              </w:trPr>
              <w:tc>
                <w:tcPr>
                  <w:tcW w:type="dxa" w:w="444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Материалы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для подготовки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3380740</wp:posOffset>
                  </wp:positionH>
                  <wp:positionV relativeFrom="page">
                    <wp:posOffset>3562350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43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22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4"/>
            </w:tblGrid>
            <w:tr>
              <w:trPr>
                <w:trHeight w:hRule="exact" w:val="1420"/>
              </w:trPr>
              <w:tc>
                <w:tcPr>
                  <w:tcW w:type="dxa" w:w="220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Оценивание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1962150</wp:posOffset>
                  </wp:positionH>
                  <wp:positionV relativeFrom="page">
                    <wp:posOffset>4667250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33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1420"/>
              </w:trPr>
              <w:tc>
                <w:tcPr>
                  <w:tcW w:type="dxa" w:w="334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Запись на экзамены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2677160</wp:posOffset>
                  </wp:positionH>
                  <wp:positionV relativeFrom="page">
                    <wp:posOffset>5772150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3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844"/>
            </w:tblGrid>
            <w:tr>
              <w:trPr>
                <w:trHeight w:hRule="exact" w:val="1420"/>
              </w:trPr>
              <w:tc>
                <w:tcPr>
                  <w:tcW w:type="dxa" w:w="382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Проведение экзаменов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2990850</wp:posOffset>
                  </wp:positionH>
                  <wp:positionV relativeFrom="page">
                    <wp:posOffset>6877050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3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84"/>
            </w:tblGrid>
            <w:tr>
              <w:trPr>
                <w:trHeight w:hRule="exact" w:val="1420"/>
              </w:trPr>
              <w:tc>
                <w:tcPr>
                  <w:tcW w:type="dxa" w:w="326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Перенос экзаменов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9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2639060</wp:posOffset>
                  </wp:positionH>
                  <wp:positionV relativeFrom="page">
                    <wp:posOffset>7981950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20"/>
        </w:trPr>
        <w:tc>
          <w:tcPr>
            <w:tcW w:type="dxa" w:w="2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24"/>
            </w:tblGrid>
            <w:tr>
              <w:trPr>
                <w:trHeight w:hRule="exact" w:val="1420"/>
              </w:trPr>
              <w:tc>
                <w:tcPr>
                  <w:tcW w:type="dxa" w:w="202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Апелляции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1838960</wp:posOffset>
                  </wp:positionH>
                  <wp:positionV relativeFrom="page">
                    <wp:posOffset>9086850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3607"/>
        <w:gridCol w:w="3607"/>
        <w:gridCol w:w="3607"/>
      </w:tblGrid>
      <w:tr>
        <w:trPr>
          <w:trHeight w:hRule="exact" w:val="144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1420"/>
              </w:trPr>
              <w:tc>
                <w:tcPr>
                  <w:tcW w:type="dxa" w:w="198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Пересдачи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1809750</wp:posOffset>
                  </wp:positionH>
                  <wp:positionV relativeFrom="page">
                    <wp:posOffset>751840</wp:posOffset>
                  </wp:positionV>
                  <wp:extent cx="190500" cy="1905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11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40"/>
        </w:trPr>
        <w:tc>
          <w:tcPr>
            <w:tcW w:type="dxa" w:w="31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104"/>
            </w:tblGrid>
            <w:tr>
              <w:trPr>
                <w:trHeight w:hRule="exact" w:val="1420"/>
              </w:trPr>
              <w:tc>
                <w:tcPr>
                  <w:tcW w:type="dxa" w:w="310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Отдельные случаи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8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2524760</wp:posOffset>
                  </wp:positionH>
                  <wp:positionV relativeFrom="page">
                    <wp:posOffset>1856739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3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064"/>
            </w:tblGrid>
            <w:tr>
              <w:trPr>
                <w:trHeight w:hRule="exact" w:val="1420"/>
              </w:trPr>
              <w:tc>
                <w:tcPr>
                  <w:tcW w:type="dxa" w:w="306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Перезачет оценок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8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2504440</wp:posOffset>
                  </wp:positionH>
                  <wp:positionV relativeFrom="page">
                    <wp:posOffset>2961640</wp:posOffset>
                  </wp:positionV>
                  <wp:extent cx="190500" cy="1905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20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64"/>
            </w:tblGrid>
            <w:tr>
              <w:trPr>
                <w:trHeight w:hRule="exact" w:val="1420"/>
              </w:trPr>
              <w:tc>
                <w:tcPr>
                  <w:tcW w:type="dxa" w:w="206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Документы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1866900</wp:posOffset>
                  </wp:positionH>
                  <wp:positionV relativeFrom="page">
                    <wp:posOffset>4066540</wp:posOffset>
                  </wp:positionV>
                  <wp:extent cx="190500" cy="1905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662" w:after="306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Внешняя оценка цифровых компетенций (Иннополис)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3607"/>
        <w:gridCol w:w="3607"/>
        <w:gridCol w:w="3607"/>
      </w:tblGrid>
      <w:tr>
        <w:trPr>
          <w:trHeight w:hRule="exact" w:val="1440"/>
        </w:trPr>
        <w:tc>
          <w:tcPr>
            <w:tcW w:type="dxa" w:w="444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444"/>
            </w:tblGrid>
            <w:tr>
              <w:trPr>
                <w:trHeight w:hRule="exact" w:val="1420"/>
              </w:trPr>
              <w:tc>
                <w:tcPr>
                  <w:tcW w:type="dxa" w:w="444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Элементы</w:t>
                  </w:r>
                  <w:r>
                    <w:rPr>
                      <w:u w:val="single" w:color="0079c4"/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 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Внешней оценки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3371850</wp:posOffset>
                  </wp:positionH>
                  <wp:positionV relativeFrom="page">
                    <wp:posOffset>5877560</wp:posOffset>
                  </wp:positionV>
                  <wp:extent cx="190500" cy="1905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740"/>
        </w:trPr>
        <w:tc>
          <w:tcPr>
            <w:tcW w:type="dxa" w:w="41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104"/>
            </w:tblGrid>
            <w:tr>
              <w:trPr>
                <w:trHeight w:hRule="exact" w:val="1420"/>
              </w:trPr>
              <w:tc>
                <w:tcPr>
                  <w:tcW w:type="dxa" w:w="410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Формат Внешней оценки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3162300</wp:posOffset>
                  </wp:positionH>
                  <wp:positionV relativeFrom="page">
                    <wp:posOffset>6982459</wp:posOffset>
                  </wp:positionV>
                  <wp:extent cx="190500" cy="1905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77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40"/>
        </w:trPr>
        <w:tc>
          <w:tcPr>
            <w:tcW w:type="dxa" w:w="22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4"/>
            </w:tblGrid>
            <w:tr>
              <w:trPr>
                <w:trHeight w:hRule="exact" w:val="1420"/>
              </w:trPr>
              <w:tc>
                <w:tcPr>
                  <w:tcW w:type="dxa" w:w="220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Оценивание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9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2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1962150</wp:posOffset>
                  </wp:positionH>
                  <wp:positionV relativeFrom="page">
                    <wp:posOffset>8087359</wp:posOffset>
                  </wp:positionV>
                  <wp:extent cx="190500" cy="1905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720"/>
        </w:trPr>
        <w:tc>
          <w:tcPr>
            <w:tcW w:type="dxa" w:w="33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84"/>
            </w:tblGrid>
            <w:tr>
              <w:trPr>
                <w:trHeight w:hRule="exact" w:val="1420"/>
              </w:trPr>
              <w:tc>
                <w:tcPr>
                  <w:tcW w:type="dxa" w:w="338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Калькулятор оценок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2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2705100</wp:posOffset>
                  </wp:positionH>
                  <wp:positionV relativeFrom="page">
                    <wp:posOffset>9192260</wp:posOffset>
                  </wp:positionV>
                  <wp:extent cx="190500" cy="190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440"/>
        </w:trPr>
        <w:tc>
          <w:tcPr>
            <w:tcW w:type="dxa" w:w="206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64"/>
            </w:tblGrid>
            <w:tr>
              <w:trPr>
                <w:trHeight w:hRule="exact" w:val="1420"/>
              </w:trPr>
              <w:tc>
                <w:tcPr>
                  <w:tcW w:type="dxa" w:w="206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Документы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1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1866900</wp:posOffset>
                  </wp:positionH>
                  <wp:positionV relativeFrom="page">
                    <wp:posOffset>751840</wp:posOffset>
                  </wp:positionV>
                  <wp:extent cx="190500" cy="1905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84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2095500</wp:posOffset>
            </wp:positionV>
            <wp:extent cx="508000" cy="2286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2476500</wp:posOffset>
            </wp:positionV>
            <wp:extent cx="1346200" cy="304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2971800</wp:posOffset>
            </wp:positionV>
            <wp:extent cx="228600" cy="2286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48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4047490</wp:posOffset>
            </wp:positionV>
            <wp:extent cx="6877050" cy="456989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969670971.html" TargetMode="External"/><Relationship Id="rId12" Type="http://schemas.openxmlformats.org/officeDocument/2006/relationships/hyperlink" Target="https://www.hse.ru/dataculture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hyperlink" Target="http://www.minobrnauki.gov.ru/" TargetMode="External"/><Relationship Id="rId66" Type="http://schemas.openxmlformats.org/officeDocument/2006/relationships/hyperlink" Target="https://edu.gov.ru/" TargetMode="External"/><Relationship Id="rId67" Type="http://schemas.openxmlformats.org/officeDocument/2006/relationships/hyperlink" Target="http://www.edu.ru/" TargetMode="External"/><Relationship Id="rId68" Type="http://schemas.openxmlformats.org/officeDocument/2006/relationships/hyperlink" Target="https://elearning.hse.ru/mooc" TargetMode="External"/><Relationship Id="rId69" Type="http://schemas.openxmlformats.org/officeDocument/2006/relationships/hyperlink" Target="https://www.hse.ru/adm/edit/edit.html?goto=%2AL3N0dWR5c3ByYXZrYS9leGFtc2RhdGFjdWx0dXJlP19yPTM2MjI3NzAxNzc1MDgxMjkzLjkyNjAy%5E&amp;id=630690510&amp;cid=20594&amp;addon_name=default&amp;newportal=1" TargetMode="External"/><Relationship Id="rId70" Type="http://schemas.openxmlformats.org/officeDocument/2006/relationships/hyperlink" Target="https://www.hse.ru/contacts.html" TargetMode="External"/><Relationship Id="rId71" Type="http://schemas.openxmlformats.org/officeDocument/2006/relationships/hyperlink" Target="https://www.hse.ru/copyright" TargetMode="External"/><Relationship Id="rId72" Type="http://schemas.openxmlformats.org/officeDocument/2006/relationships/hyperlink" Target="https://www.hse.ru/data_protection_regulation" TargetMode="External"/><Relationship Id="rId73" Type="http://schemas.openxmlformats.org/officeDocument/2006/relationships/hyperlink" Target="https://www.hse.ru/sitemap.html" TargetMode="External"/><Relationship Id="rId74" Type="http://schemas.openxmlformats.org/officeDocument/2006/relationships/hyperlink" Target="https://design.hse.ru/" TargetMode="External"/><Relationship Id="rId7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