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78" w:val="left"/>
        </w:tabs>
        <w:autoSpaceDE w:val="0"/>
        <w:widowControl/>
        <w:spacing w:line="240" w:lineRule="auto" w:before="198" w:after="0"/>
        <w:ind w:left="390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16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Контроль знаний студентов</w:t>
      </w:r>
    </w:p>
    <w:p>
      <w:pPr>
        <w:autoSpaceDN w:val="0"/>
        <w:autoSpaceDE w:val="0"/>
        <w:widowControl/>
        <w:spacing w:line="240" w:lineRule="auto" w:before="506" w:after="0"/>
        <w:ind w:left="16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Основные факты об учебе в Вышке</w:t>
      </w:r>
    </w:p>
    <w:p>
      <w:pPr>
        <w:autoSpaceDN w:val="0"/>
        <w:autoSpaceDE w:val="0"/>
        <w:widowControl/>
        <w:spacing w:line="240" w:lineRule="auto" w:before="826" w:after="0"/>
        <w:ind w:left="390" w:right="432" w:hanging="39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3619500</wp:posOffset>
            </wp:positionV>
            <wp:extent cx="203200" cy="1905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Учебный год разбит не на семестры, а на 4 модуля по 8-12 учебных недель,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 конце каждого — сессия. Точные даты на каждый год —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графике учебного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процесса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46" w:after="0"/>
        <w:ind w:left="390" w:right="432" w:hanging="33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4495800</wp:posOffset>
            </wp:positionV>
            <wp:extent cx="165100" cy="190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Времени на подготовку к сессии не выделяется. В каждый день сессии 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студентов может быть назначено по экзамену, но не более одного в день. Если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экзамены пересекаются по времени или проходят в один день, студент может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подать электронное заявление о переносе одного из экзаменов.</w:t>
      </w:r>
    </w:p>
    <w:p>
      <w:pPr>
        <w:autoSpaceDN w:val="0"/>
        <w:autoSpaceDE w:val="0"/>
        <w:widowControl/>
        <w:spacing w:line="240" w:lineRule="auto" w:before="246" w:after="0"/>
        <w:ind w:left="390" w:right="144" w:hanging="39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5613400</wp:posOffset>
            </wp:positionV>
            <wp:extent cx="203200" cy="2032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Экзамен — последний элемент контроля по дисциплине. Он начинается не ранее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9:00 и завершается не позднее 21:00. Продолжительность экзамена — не более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4 академических часов. Для некоторых дисциплин экзамен может быть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не предусмотрен — это указывается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программе учебной дисциплины (ПУД)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46" w:after="0"/>
        <w:ind w:left="390" w:right="432" w:hanging="39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6743700</wp:posOffset>
            </wp:positionV>
            <wp:extent cx="2032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Зачетов по учебным дисциплинам в Вышке нет. Экзамена по отдельным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дисциплинам тоже может не быть, тогда в период сессии выставляется оценка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промежуточной аттестации. Зачеты сохраняются по физкультуре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и по недлинным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проектам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в рамках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практической подготовки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60" w:after="0"/>
        <w:ind w:left="390" w:right="432" w:hanging="35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7874000</wp:posOffset>
            </wp:positionV>
            <wp:extent cx="1651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Оценка по промежуточной аттестации рассчитывается с помощью формулы,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учитывающей каждую из оценок по Элементам контроля. Формулы по каждой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дисциплине свои и указываются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ПУД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46" w:after="266"/>
        <w:ind w:left="390" w:right="720" w:hanging="35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8750300</wp:posOffset>
            </wp:positionV>
            <wp:extent cx="177800" cy="190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 Вышке принята десятибалльная шкала оценивания, существуют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таблицы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ее соответствия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 пятибалльной шкалой и другими. Преподаватель в рамках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текущего контроля может использовать любую шкалу.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5102"/>
        <w:gridCol w:w="5102"/>
      </w:tblGrid>
      <w:tr>
        <w:trPr>
          <w:trHeight w:hRule="exact" w:val="300"/>
        </w:trPr>
        <w:tc>
          <w:tcPr>
            <w:tcW w:type="dxa" w:w="300"/>
            <w:tcBorders/>
            <w:shd w:fill="f5a62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56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647700</wp:posOffset>
                  </wp:positionH>
                  <wp:positionV relativeFrom="page">
                    <wp:posOffset>9715500</wp:posOffset>
                  </wp:positionV>
                  <wp:extent cx="50800" cy="508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Преподаватель фиксирует промежуточные результаты студентов в рабочей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39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ведомости. Оценка по дисциплине выставляется в ведомости промежуточной</w:t>
      </w:r>
    </w:p>
    <w:p>
      <w:pPr>
        <w:sectPr>
          <w:pgSz w:w="11918" w:h="16858"/>
          <w:pgMar w:top="438" w:right="874" w:bottom="492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162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Промежуточная аттестация</w:t>
      </w:r>
    </w:p>
    <w:p>
      <w:pPr>
        <w:autoSpaceDN w:val="0"/>
        <w:autoSpaceDE w:val="0"/>
        <w:widowControl/>
        <w:spacing w:line="266" w:lineRule="auto" w:before="200" w:after="0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Текущая и промежуточная аттестация проводятся в соответствии с Положением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 организации промежуточной аттестации и текущего контроля успеваемости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студентов НИУ ВШЭ.</w:t>
      </w:r>
    </w:p>
    <w:p>
      <w:pPr>
        <w:autoSpaceDN w:val="0"/>
        <w:autoSpaceDE w:val="0"/>
        <w:widowControl/>
        <w:spacing w:line="274" w:lineRule="auto" w:before="260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Оценка по промежуточной аттестации рассчитывается с помощью формулы, которая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 обязательном порядке фиксируется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программе учебной дисциплины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(ПУД)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 учитывает каждую из оценок по элементам текущего контроля знаний,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перечень которых также фиксируется в программе дисциплины с указанием тех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элементов, результаты которых не подлежат пересдаче. Если в качестве формулы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расчета оценки промежуточной аттестации используется взвешенная сумма оценок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элементам текущего контроля с суммой весов, равной 1, то ни одна из оценок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текущего контроля знаний не может весить в этой формуле более 70%.</w:t>
      </w:r>
    </w:p>
    <w:p>
      <w:pPr>
        <w:autoSpaceDN w:val="0"/>
        <w:autoSpaceDE w:val="0"/>
        <w:widowControl/>
        <w:spacing w:line="274" w:lineRule="auto" w:before="260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некоторых дисциплинах может использоваться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 блокирующий элемент контроля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– экзамен или другой элемент с таким статусом; если по такому элементу контроля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получена оценка ниже 4 («неудовлетворительно»), она блокирует любую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возможность формирования промежуточных и окончательных оценок по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дисциплине. Необходимо его пересдать на положительную оценку, чтобы успешно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завершить промежуточную аттестацию и изучение дисциплины.</w:t>
      </w:r>
    </w:p>
    <w:p>
      <w:pPr>
        <w:autoSpaceDN w:val="0"/>
        <w:autoSpaceDE w:val="0"/>
        <w:widowControl/>
        <w:spacing w:line="266" w:lineRule="auto" w:before="260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Неудовлетворительная оценка по элементу контроля по дисциплине не может быть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причиной недопуска студента к следующим элементам контроля по этой дисциплине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(включая экзамены).</w:t>
      </w:r>
    </w:p>
    <w:p>
      <w:pPr>
        <w:autoSpaceDN w:val="0"/>
        <w:autoSpaceDE w:val="0"/>
        <w:widowControl/>
        <w:spacing w:line="240" w:lineRule="auto" w:before="56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Академическая честность и искусственный интеллект</w:t>
      </w:r>
    </w:p>
    <w:p>
      <w:pPr>
        <w:autoSpaceDN w:val="0"/>
        <w:autoSpaceDE w:val="0"/>
        <w:widowControl/>
        <w:spacing w:line="240" w:lineRule="auto" w:before="21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Вышке строго следят за соблюдением академических норм:</w:t>
      </w:r>
    </w:p>
    <w:p>
      <w:pPr>
        <w:autoSpaceDN w:val="0"/>
        <w:autoSpaceDE w:val="0"/>
        <w:widowControl/>
        <w:spacing w:line="269" w:lineRule="auto" w:before="262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 списывание, подлог, использование запрещенных материалов и средств,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 также общение с другими студентами во время проведения элементов контроля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преподаватель вправе удалить студента из аудитории и выставить ему в ведомость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оценку «0».</w:t>
      </w:r>
    </w:p>
    <w:p>
      <w:pPr>
        <w:autoSpaceDN w:val="0"/>
        <w:autoSpaceDE w:val="0"/>
        <w:widowControl/>
        <w:spacing w:line="266" w:lineRule="auto" w:before="246" w:after="0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Преподаватель может проверить любую работу студента на плагиат на свое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усмотрение, а обязательной проверке подлежат курсовые работы, ВКР и работы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рамках дисциплины «Академическое письмо» на английском языке.</w:t>
      </w:r>
    </w:p>
    <w:p>
      <w:pPr>
        <w:autoSpaceDN w:val="0"/>
        <w:autoSpaceDE w:val="0"/>
        <w:widowControl/>
        <w:spacing w:line="257" w:lineRule="auto" w:before="246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Использование ИИ в учебных работах разрешено, но требует обязательного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декларирования в специальном разделе или приложении к работе; у преподавателя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1695450</wp:posOffset>
            </wp:positionV>
            <wp:extent cx="2805429" cy="380827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5429" cy="38082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2199640</wp:posOffset>
            </wp:positionV>
            <wp:extent cx="2804160" cy="38065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3806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7" w:lineRule="auto" w:before="24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есть право полностью запретить использование ИИ — в таком случае, он указывает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это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программе учебной дисциплины (ПУД)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64" w:lineRule="auto" w:before="262" w:after="0"/>
        <w:ind w:left="300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Студент, в работе которого был обнаружен плагиат или незадекларированное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использование ИИ, может быть отчислен.</w:t>
      </w:r>
    </w:p>
    <w:p>
      <w:pPr>
        <w:autoSpaceDN w:val="0"/>
        <w:autoSpaceDE w:val="0"/>
        <w:widowControl/>
        <w:spacing w:line="240" w:lineRule="auto" w:before="396" w:after="0"/>
        <w:ind w:left="55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FFFFFF"/>
          <w:sz w:val="26"/>
        </w:rPr>
        <w:hyperlink r:id="rId24" w:history="1">
          <w:r>
            <w:rPr>
              <w:rStyle w:val="Hyperlink"/>
            </w:rPr>
            <w:t>Подробнее про плагиат</w:t>
          </w:r>
        </w:hyperlink>
      </w:r>
    </w:p>
    <w:p>
      <w:pPr>
        <w:autoSpaceDN w:val="0"/>
        <w:autoSpaceDE w:val="0"/>
        <w:widowControl/>
        <w:spacing w:line="240" w:lineRule="auto" w:before="456" w:after="0"/>
        <w:ind w:left="55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FFFFFF"/>
          <w:sz w:val="26"/>
        </w:rPr>
        <w:hyperlink r:id="rId25" w:history="1">
          <w:r>
            <w:rPr>
              <w:rStyle w:val="Hyperlink"/>
            </w:rPr>
            <w:t>Подробнее про ИИ</w:t>
          </w:r>
        </w:hyperlink>
      </w:r>
    </w:p>
    <w:p>
      <w:pPr>
        <w:autoSpaceDN w:val="0"/>
        <w:autoSpaceDE w:val="0"/>
        <w:widowControl/>
        <w:spacing w:line="240" w:lineRule="auto" w:before="63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Академическая задолженность и пересдачи</w:t>
      </w:r>
    </w:p>
    <w:p>
      <w:pPr>
        <w:autoSpaceDN w:val="0"/>
        <w:autoSpaceDE w:val="0"/>
        <w:widowControl/>
        <w:spacing w:line="274" w:lineRule="auto" w:before="216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Академическая задолженность 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(«хвост» на вузовском жаргоне)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возникает тогда, когда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 получает неудовлетворительную оценку по промежуточной аттестации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дисциплине — ниже 4 баллов (по 10-балльной шкале), не проходит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промежуточную аттестацию по дисциплине при отсутствии уважительных причин,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(или) не принимает участие в обязательной внешней оценки, предусмотренной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учебным планом ОП или иным распорядительным актом. К академическим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задолженностям относится также «невыбор» темы курсовой работы или ВКР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установленные сроки.</w:t>
      </w:r>
    </w:p>
    <w:p>
      <w:pPr>
        <w:autoSpaceDN w:val="0"/>
        <w:autoSpaceDE w:val="0"/>
        <w:widowControl/>
        <w:spacing w:line="276" w:lineRule="auto" w:before="262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продолжения обучения студент обязан своевременно ликвидировать все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академические задолженности. Пересдаче может подлежать как часть, так и набор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элементов контроля по дисциплине (это прописано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ПУД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). Для ликвидации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академической задолженности в определенные сроки организуются пересдачи: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первая и вторая. Первая пересдача проводится преподавателем, который выставлял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оценку по промежуточной аттестации, а вторая пересдача принимается комиссией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составе не менее трех человек, включая оценивающего преподавателя. После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пересдачи промежуточная оценка по дисциплине выводится по первоначальной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формуле, описанной в программе дисциплины, с учетом новых оценок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пересданным элементам контроля.</w:t>
      </w:r>
    </w:p>
    <w:p>
      <w:pPr>
        <w:autoSpaceDN w:val="0"/>
        <w:autoSpaceDE w:val="0"/>
        <w:widowControl/>
        <w:spacing w:line="264" w:lineRule="auto" w:before="260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по итогам первой пересдачи студент сохраняет одну или две академические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задолженности, он имеет возможность выбрать один из вариантов:</w:t>
      </w:r>
    </w:p>
    <w:p>
      <w:pPr>
        <w:autoSpaceDN w:val="0"/>
        <w:autoSpaceDE w:val="0"/>
        <w:widowControl/>
        <w:spacing w:line="240" w:lineRule="auto" w:before="262" w:after="0"/>
        <w:ind w:left="9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записаться на участие во второй пересдаче в текущий период пересдач;</w:t>
      </w:r>
    </w:p>
    <w:p>
      <w:pPr>
        <w:autoSpaceDN w:val="0"/>
        <w:autoSpaceDE w:val="0"/>
        <w:widowControl/>
        <w:spacing w:line="264" w:lineRule="auto" w:before="246" w:after="0"/>
        <w:ind w:left="9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отложить участие во второй пересдаче и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запросить возможность повторного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изучения дисциплины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заново прослушать курс, пройти все элементы контроля,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после этого выйти на вторую пересдачу.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Ликвидация академических задолженностей («неудов» и неявок) осуществляется два</w:t>
      </w:r>
      <w:r>
        <w:rPr>
          <w:w w:val="98.52272380482067"/>
          <w:rFonts w:ascii="Segoe UI" w:hAnsi="Segoe UI" w:eastAsia="Segoe UI"/>
          <w:b w:val="0"/>
          <w:i w:val="0"/>
          <w:color w:val="808080"/>
          <w:sz w:val="22"/>
        </w:rPr>
        <w:t>*</w:t>
      </w:r>
    </w:p>
    <w:p>
      <w:pPr>
        <w:autoSpaceDN w:val="0"/>
        <w:autoSpaceDE w:val="0"/>
        <w:widowControl/>
        <w:spacing w:line="240" w:lineRule="auto" w:before="52" w:after="16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раза в год в периоды пересдач, которые в НИУ ВШЭ имеют строгие границы: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6.0" w:type="dxa"/>
      </w:tblPr>
      <w:tblGrid>
        <w:gridCol w:w="5410"/>
        <w:gridCol w:w="5410"/>
      </w:tblGrid>
      <w:tr>
        <w:trPr>
          <w:trHeight w:hRule="exact" w:val="872"/>
        </w:trPr>
        <w:tc>
          <w:tcPr>
            <w:tcW w:type="dxa" w:w="4366"/>
            <w:tcBorders>
              <w:start w:sz="5.600000000000023" w:val="single" w:color="#000000"/>
              <w:top w:sz="5.600000000000023" w:val="single" w:color="#000000"/>
              <w:end w:sz="6.400000000000091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6" w:after="0"/>
              <w:ind w:left="0" w:right="0" w:firstLine="0"/>
              <w:jc w:val="center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Академ.задолженность получена</w:t>
            </w:r>
          </w:p>
        </w:tc>
        <w:tc>
          <w:tcPr>
            <w:tcW w:type="dxa" w:w="3270"/>
            <w:tcBorders>
              <w:start w:sz="6.400000000000091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6" w:after="0"/>
              <w:ind w:left="126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Период пересдач</w:t>
            </w:r>
          </w:p>
        </w:tc>
      </w:tr>
      <w:tr>
        <w:trPr>
          <w:trHeight w:hRule="exact" w:val="868"/>
        </w:trPr>
        <w:tc>
          <w:tcPr>
            <w:tcW w:type="dxa" w:w="4366"/>
            <w:tcBorders>
              <w:start w:sz="5.600000000000023" w:val="single" w:color="#000000"/>
              <w:top w:sz="6.399999999999977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1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3–4 модуле</w:t>
            </w:r>
          </w:p>
        </w:tc>
        <w:tc>
          <w:tcPr>
            <w:tcW w:type="dxa" w:w="3270"/>
            <w:tcBorders>
              <w:start w:sz="6.400000000000091" w:val="single" w:color="#000000"/>
              <w:top w:sz="6.399999999999977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1 сентября — 15 октября</w:t>
            </w:r>
          </w:p>
        </w:tc>
      </w:tr>
      <w:tr>
        <w:trPr>
          <w:trHeight w:hRule="exact" w:val="872"/>
        </w:trPr>
        <w:tc>
          <w:tcPr>
            <w:tcW w:type="dxa" w:w="4366"/>
            <w:tcBorders>
              <w:start w:sz="5.600000000000023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6" w:after="0"/>
              <w:ind w:left="1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1–2 модуле</w:t>
            </w:r>
          </w:p>
        </w:tc>
        <w:tc>
          <w:tcPr>
            <w:tcW w:type="dxa" w:w="3270"/>
            <w:tcBorders>
              <w:start w:sz="6.400000000000091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6" w:after="0"/>
              <w:ind w:left="12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10 января — 15 февраля</w:t>
            </w:r>
          </w:p>
        </w:tc>
      </w:tr>
    </w:tbl>
    <w:p>
      <w:pPr>
        <w:autoSpaceDN w:val="0"/>
        <w:autoSpaceDE w:val="0"/>
        <w:widowControl/>
        <w:spacing w:line="305" w:lineRule="auto" w:before="382" w:after="0"/>
        <w:ind w:left="0" w:right="0" w:firstLine="0"/>
        <w:jc w:val="center"/>
      </w:pPr>
      <w:r>
        <w:rPr>
          <w:w w:val="98.52272380482067"/>
          <w:rFonts w:ascii="Segoe UI" w:hAnsi="Segoe UI" w:eastAsia="Segoe UI"/>
          <w:b w:val="0"/>
          <w:i w:val="0"/>
          <w:color w:val="808080"/>
          <w:sz w:val="22"/>
        </w:rPr>
        <w:t xml:space="preserve">* </w:t>
      </w:r>
      <w:r>
        <w:rPr>
          <w:w w:val="103.125"/>
          <w:rFonts w:ascii="Segoe UI" w:hAnsi="Segoe UI" w:eastAsia="Segoe UI"/>
          <w:b w:val="0"/>
          <w:i w:val="0"/>
          <w:color w:val="808080"/>
          <w:sz w:val="16"/>
        </w:rPr>
        <w:t>Для студентов выпускных курсов назначается дополнительный период пересдач академических задолженностей за третий модуль</w:t>
      </w:r>
    </w:p>
    <w:p>
      <w:pPr>
        <w:autoSpaceDN w:val="0"/>
        <w:autoSpaceDE w:val="0"/>
        <w:widowControl/>
        <w:spacing w:line="240" w:lineRule="auto" w:before="184" w:after="0"/>
        <w:ind w:left="300" w:right="0" w:firstLine="0"/>
        <w:jc w:val="left"/>
      </w:pPr>
      <w:r>
        <w:rPr>
          <w:w w:val="103.125"/>
          <w:rFonts w:ascii="Segoe UI" w:hAnsi="Segoe UI" w:eastAsia="Segoe UI"/>
          <w:b w:val="0"/>
          <w:i w:val="0"/>
          <w:color w:val="808080"/>
          <w:sz w:val="16"/>
        </w:rPr>
        <w:t>до начала проведения государственной итоговой аттестации.</w:t>
      </w:r>
    </w:p>
    <w:p>
      <w:pPr>
        <w:autoSpaceDN w:val="0"/>
        <w:autoSpaceDE w:val="0"/>
        <w:widowControl/>
        <w:spacing w:line="276" w:lineRule="auto" w:before="268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Расписание пересдач доводится до сведения студентов, имеющих академические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задолженности по итогам последней сессии, не позднее чем за три дня до даты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назначения первой пересдачи. Студент, у которого расписание пересдач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существенно конфликтует с расписанием занятий, направляет запрос менеджеру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 о поиске возможных вариантов изменения имеющейся даты пересдачи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рамках установленных сроков для периода пересдач. Промежуток между первой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пересдачей и второй пересдачей комиссии должен составлять не менее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5 календарных дней.</w:t>
      </w:r>
    </w:p>
    <w:p>
      <w:pPr>
        <w:autoSpaceDN w:val="0"/>
        <w:autoSpaceDE w:val="0"/>
        <w:widowControl/>
        <w:spacing w:line="266" w:lineRule="auto" w:before="262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сохранении академической задолженности после второй пересдачи студент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подлежит отчислению по инициативе университета за недобросовестное освоение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образовательной программы, и далее можно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восстановиться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56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Показатель качества учебной деятельности</w:t>
      </w:r>
    </w:p>
    <w:p>
      <w:pPr>
        <w:autoSpaceDN w:val="0"/>
        <w:autoSpaceDE w:val="0"/>
        <w:widowControl/>
        <w:spacing w:line="274" w:lineRule="auto" w:before="214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 итогам сессий для каждого студента оценивается показатель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качества учебной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деятельности (КУД)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в зависимости от значения которого принимаются решения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 возможности продолжения образования с сохранением текущих условий.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Простыми словами, КУД — это количество дисциплин, по которым у студента есть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неудовлетворительные оценки. Для большинства студентов критическое значение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КУД равно двум, что означает, что больше двух академических задолженностей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иметь нельзя — такие студенты подлежат отчислению как не выполняющие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обязанности по добросовестному освоению образовательной программы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и выполнению учебного плана, и далее можно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восстановиться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57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Апелляции</w:t>
      </w:r>
    </w:p>
    <w:p>
      <w:pPr>
        <w:sectPr>
          <w:pgSz w:w="11918" w:h="16858"/>
          <w:pgMar w:top="326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6" w:lineRule="auto" w:before="24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 может подать апелляцию на результаты блокирующих элементов контроля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(или) экзаменов, при этом апелляция в связи с неудовлетворенностью оценкой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 принимается.</w:t>
      </w:r>
    </w:p>
    <w:p>
      <w:pPr>
        <w:autoSpaceDN w:val="0"/>
        <w:autoSpaceDE w:val="0"/>
        <w:widowControl/>
        <w:spacing w:line="271" w:lineRule="auto" w:before="260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Основаниями для подачи апелляции могут быть некорректность в постановке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вопросов, ошибки в формулировках задач и тестовых заданий, нарушение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процедуры проведения элемента контроля или методики выставления оценки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 работу, а также обстоятельства, которые помешали преподавателю объективно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оценить работу. Конкретные основания для апелляции должны быть обязательно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отражены в заявлении.</w:t>
      </w:r>
    </w:p>
    <w:p>
      <w:pPr>
        <w:autoSpaceDN w:val="0"/>
        <w:autoSpaceDE w:val="0"/>
        <w:widowControl/>
        <w:spacing w:line="274" w:lineRule="auto" w:before="262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Апелляция подаётся студентом в течение трех рабочих дней с момента объявления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оценки на имя академического руководителя образовательной программы /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проректора по учебной работе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1" w:history="1">
          <w:r>
            <w:rPr>
              <w:rStyle w:val="Hyperlink"/>
            </w:rPr>
            <w:t>С.Ю.Рощина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(если апелляция относится к результатам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экзаменов и (или) блокирующих элементов контроля по общеуниверситетскому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факультативу).</w:t>
      </w:r>
    </w:p>
    <w:p>
      <w:pPr>
        <w:autoSpaceDN w:val="0"/>
        <w:autoSpaceDE w:val="0"/>
        <w:widowControl/>
        <w:spacing w:line="269" w:lineRule="auto" w:before="262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Апелляция рассматривается в течение 3 рабочих дней с момента подачи заявления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специально созданной для этого комиссией. В состав комиссии входят не менее трех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преподавателей. Преподаватель, принимавший экзамен и (или) блокирующий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элемент контроля или его пересдачу, в состав апелляционной комиссии не входит.</w:t>
      </w:r>
    </w:p>
    <w:p>
      <w:pPr>
        <w:autoSpaceDN w:val="0"/>
        <w:autoSpaceDE w:val="0"/>
        <w:widowControl/>
        <w:spacing w:line="274" w:lineRule="auto" w:before="260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Апелляционная комиссия проводит заседание в присутствии студента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преподавателя, принимавшего элемент контроля или его пересдачу. На заседании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также может присутствовать один представитель Студенческого совета факультета,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котором обучается студент/Студенческого совета университета (при отсутствии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Студенческого совета факультета)/Студенческого совета филиала (для студентов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филиалов НИУ ВШЭ) по предварительному согласованию с председателем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апелляционной комиссии.</w:t>
      </w:r>
    </w:p>
    <w:p>
      <w:pPr>
        <w:autoSpaceDN w:val="0"/>
        <w:autoSpaceDE w:val="0"/>
        <w:widowControl/>
        <w:spacing w:line="259" w:lineRule="auto" w:before="260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Неявка студента и (или) преподавателя, принимавшего экзамен и (или) блокирующий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Элемент контроля или его пересдачу, не препятствует рассмотрению апелляции.</w:t>
      </w:r>
    </w:p>
    <w:p>
      <w:pPr>
        <w:autoSpaceDN w:val="0"/>
        <w:autoSpaceDE w:val="0"/>
        <w:widowControl/>
        <w:spacing w:line="271" w:lineRule="auto" w:before="260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апелляция удовлетворена, студенту предоставляется возможность повторной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сдачи или пересдачи экзамена и (или) блокирующего элемента контроля. Если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экзамен и (или) блокирующий элемент контроля проводился письменно и характер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заданий и ответов в такой работе позволяет выставить новую оценку,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то по результатам апелляции студенту выставляется обновленная оценка.</w:t>
      </w:r>
    </w:p>
    <w:p>
      <w:pPr>
        <w:autoSpaceDN w:val="0"/>
        <w:autoSpaceDE w:val="0"/>
        <w:widowControl/>
        <w:spacing w:line="240" w:lineRule="auto" w:before="58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Рейтинг студентов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4714240</wp:posOffset>
            </wp:positionV>
            <wp:extent cx="2810510" cy="380656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3806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24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Рейтинг — показатель, отражающий успеваемость студента за выбранный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промежуток времени. Он представляет собой список студентов курса одного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направления обучения, отсортированный по 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успеваемости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в порядке убывания.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За 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успеваемость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принято считать рейтинговую сумму чисел, равную сумме оценок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всем законченным за один семестр предметами, умноженных на число кредитов,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которое весит каждый предмет.</w:t>
      </w:r>
    </w:p>
    <w:p>
      <w:pPr>
        <w:autoSpaceDN w:val="0"/>
        <w:autoSpaceDE w:val="0"/>
        <w:widowControl/>
        <w:spacing w:line="257" w:lineRule="auto" w:before="262" w:after="0"/>
        <w:ind w:left="300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Рейтинг влияет на распределение на майноры и стажировки, а также позволяет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получить скидку на обучение.</w:t>
      </w:r>
    </w:p>
    <w:p>
      <w:pPr>
        <w:autoSpaceDN w:val="0"/>
        <w:autoSpaceDE w:val="0"/>
        <w:widowControl/>
        <w:spacing w:line="269" w:lineRule="auto" w:before="262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Рейтинги бывают текущие и кумулятивные, до пересдач и после пересдач. Текущий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рейтинг позволяет сравнить результаты обучения студентов за полгода,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 кумулятивный рейтинг сравнивает образовательные результаты за все время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обучения.</w:t>
      </w:r>
    </w:p>
    <w:p>
      <w:pPr>
        <w:autoSpaceDN w:val="0"/>
        <w:autoSpaceDE w:val="0"/>
        <w:widowControl/>
        <w:spacing w:line="266" w:lineRule="auto" w:before="260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Оценки не явившихся или «проваливших» дисциплину студентов рассчитываются как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нули в рейтинге до пересдач и как обновленные результаты в рейтинге после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пересдач.</w:t>
      </w:r>
    </w:p>
    <w:p>
      <w:pPr>
        <w:autoSpaceDN w:val="0"/>
        <w:autoSpaceDE w:val="0"/>
        <w:widowControl/>
        <w:spacing w:line="240" w:lineRule="auto" w:before="396" w:after="0"/>
        <w:ind w:left="55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FFFFFF"/>
          <w:sz w:val="26"/>
        </w:rPr>
        <w:hyperlink r:id="rId32" w:history="1">
          <w:r>
            <w:rPr>
              <w:rStyle w:val="Hyperlink"/>
            </w:rPr>
            <w:t>Подробнее о рейтинге</w:t>
          </w:r>
        </w:hyperlink>
      </w:r>
    </w:p>
    <w:p>
      <w:pPr>
        <w:autoSpaceDN w:val="0"/>
        <w:autoSpaceDE w:val="0"/>
        <w:widowControl/>
        <w:spacing w:line="240" w:lineRule="auto" w:before="63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Отсутствие на занятиях или элементах контроля</w:t>
      </w:r>
    </w:p>
    <w:p>
      <w:pPr>
        <w:autoSpaceDN w:val="0"/>
        <w:autoSpaceDE w:val="0"/>
        <w:widowControl/>
        <w:spacing w:line="240" w:lineRule="auto" w:before="266" w:after="0"/>
        <w:ind w:left="300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Экзамены</w:t>
      </w:r>
    </w:p>
    <w:p>
      <w:pPr>
        <w:autoSpaceDN w:val="0"/>
        <w:autoSpaceDE w:val="0"/>
        <w:widowControl/>
        <w:spacing w:line="276" w:lineRule="auto" w:before="234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Уважительной причиной неявки на экзамен считаются болезнь, подтвержденная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медицинской справкой, а также иные уважительные причины — к ним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не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относятся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обстоятельства, связанные с работой студента (служебные командировки, рабочее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время). Чтобы причина пропуска была признана уважительной, необходимо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обязательно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верифицировать подтверждающие документы путем подачи заявки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через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3" w:history="1">
          <w:r>
            <w:rPr>
              <w:rStyle w:val="Hyperlink"/>
            </w:rPr>
            <w:t>электронный сервис Центра сервиса «Студент»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— признание причины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уважительной будет принято только после верификации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документов. Верификация всех справок (запросы в поликлинику) осуществляется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централизованно. Полученные заявки обрабатываются сотрудниками Центра сервиса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«Студент» и учебных офисов совместно. Заявка проходит техническую экспертизу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Центром и передается менеджеру вашей образовательной программы для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дальнейшей работы по процедуре признания причины неявки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уважительной.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B учебный офис студент не предоставляет копию или оригинал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документа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2562860</wp:posOffset>
            </wp:positionV>
            <wp:extent cx="2815590" cy="380914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15590" cy="3809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6291580</wp:posOffset>
            </wp:positionV>
            <wp:extent cx="6485890" cy="4176913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5890" cy="417691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64" w:after="0"/>
        <w:ind w:left="300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Элементы контроля (за исключением экзаменов)</w:t>
      </w:r>
    </w:p>
    <w:p>
      <w:pPr>
        <w:autoSpaceDN w:val="0"/>
        <w:autoSpaceDE w:val="0"/>
        <w:widowControl/>
        <w:spacing w:line="274" w:lineRule="auto" w:before="234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Отсутствие студента на элементе контроля, не относящемся к категории «экзамен», не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анализируется на предмет наличия уважительных причин. При пропуске важных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элементов контроля (которые весят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не менее 30% от итоговой оценки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), можно будет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сдать их до начала сессии, даже если студент пропустил данный элемент контроля без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уважительной причины. Условия сдачи пропущенных элементов контроля должны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быть определены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программе учебной дисциплины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396" w:after="0"/>
        <w:ind w:left="55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FFFFFF"/>
          <w:sz w:val="26"/>
        </w:rPr>
        <w:hyperlink r:id="rId35" w:history="1">
          <w:r>
            <w:rPr>
              <w:rStyle w:val="Hyperlink"/>
            </w:rPr>
            <w:t>Подробнее</w:t>
          </w:r>
        </w:hyperlink>
      </w:r>
    </w:p>
    <w:p>
      <w:pPr>
        <w:autoSpaceDN w:val="0"/>
        <w:autoSpaceDE w:val="0"/>
        <w:widowControl/>
        <w:spacing w:line="240" w:lineRule="auto" w:before="64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Документы</w:t>
      </w:r>
    </w:p>
    <w:p>
      <w:pPr>
        <w:autoSpaceDN w:val="0"/>
        <w:autoSpaceDE w:val="0"/>
        <w:widowControl/>
        <w:spacing w:line="240" w:lineRule="auto" w:before="226" w:after="0"/>
        <w:ind w:left="30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6" w:history="1">
          <w:r>
            <w:rPr>
              <w:rStyle w:val="Hyperlink"/>
            </w:rPr>
            <w:t>Правила внутреннего распорядка обучающихся НИУ ВШЭ</w:t>
          </w:r>
        </w:hyperlink>
      </w:r>
    </w:p>
    <w:p>
      <w:pPr>
        <w:autoSpaceDN w:val="0"/>
        <w:autoSpaceDE w:val="0"/>
        <w:widowControl/>
        <w:spacing w:line="240" w:lineRule="auto" w:before="260" w:after="0"/>
        <w:ind w:left="30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7" w:history="1">
          <w:r>
            <w:rPr>
              <w:rStyle w:val="Hyperlink"/>
            </w:rPr>
            <w:t>Порядок и основания отчисления обучающихся из НИУ ВШЭ</w:t>
          </w:r>
        </w:hyperlink>
      </w:r>
    </w:p>
    <w:p>
      <w:pPr>
        <w:autoSpaceDN w:val="0"/>
        <w:autoSpaceDE w:val="0"/>
        <w:widowControl/>
        <w:spacing w:line="264" w:lineRule="auto" w:before="260" w:after="0"/>
        <w:ind w:left="300" w:right="576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8" w:history="1">
          <w:r>
            <w:rPr>
              <w:rStyle w:val="Hyperlink"/>
            </w:rPr>
            <w:t>Положение об организации промежуточной аттестации и текущего контроля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8" w:history="1">
          <w:r>
            <w:rPr>
              <w:rStyle w:val="Hyperlink"/>
            </w:rPr>
            <w:t>успеваемости студентов Национального исследовательского университета «Высшая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8" w:history="1">
          <w:r>
            <w:rPr>
              <w:rStyle w:val="Hyperlink"/>
            </w:rPr>
            <w:t>школа экономики» (ПОПАТКУС)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(действует c 01.09.2025)</w:t>
      </w:r>
    </w:p>
    <w:p>
      <w:pPr>
        <w:autoSpaceDN w:val="0"/>
        <w:autoSpaceDE w:val="0"/>
        <w:widowControl/>
        <w:spacing w:line="269" w:lineRule="auto" w:before="260" w:after="222"/>
        <w:ind w:left="300" w:right="100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9" w:history="1">
          <w:r>
            <w:rPr>
              <w:rStyle w:val="Hyperlink"/>
            </w:rPr>
            <w:t>Положение о комплексной системе сравнения результатов обучения студентов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9" w:history="1">
          <w:r>
            <w:rPr>
              <w:rStyle w:val="Hyperlink"/>
            </w:rPr>
            <w:t>образовательных программ высшего образования Национального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9" w:history="1">
          <w:r>
            <w:rPr>
              <w:rStyle w:val="Hyperlink"/>
            </w:rPr>
            <w:t>исследовательского университета «Высшая школа экономики»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(вступил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силу 16.10.2025)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752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Полезные ссылки</w:t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84"/>
        </w:trPr>
        <w:tc>
          <w:tcPr>
            <w:tcW w:type="dxa" w:w="71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40" w:history="1">
                <w:r>
                  <w:rPr>
                    <w:rStyle w:val="Hyperlink"/>
                  </w:rPr>
                  <w:t>Индивидуальный учебный план (ИУП)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84"/>
        </w:trPr>
        <w:tc>
          <w:tcPr>
            <w:tcW w:type="dxa" w:w="664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41" w:history="1">
                <w:r>
                  <w:rPr>
                    <w:rStyle w:val="Hyperlink"/>
                  </w:rPr>
                  <w:t>Кредит (зачетная единица)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84"/>
        </w:trPr>
        <w:tc>
          <w:tcPr>
            <w:tcW w:type="dxa" w:w="68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42" w:history="1">
                <w:r>
                  <w:rPr>
                    <w:rStyle w:val="Hyperlink"/>
                  </w:rPr>
                  <w:t>Электронная зачетная книжка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84"/>
        </w:trPr>
        <w:tc>
          <w:tcPr>
            <w:tcW w:type="dxa" w:w="69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5" w:history="1">
                <w:r>
                  <w:rPr>
                    <w:rStyle w:val="Hyperlink"/>
                  </w:rPr>
                  <w:t>Программа учебной дисциплины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84"/>
        </w:trPr>
        <w:tc>
          <w:tcPr>
            <w:tcW w:type="dxa" w:w="67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21" w:history="1">
                <w:r>
                  <w:rPr>
                    <w:rStyle w:val="Hyperlink"/>
                  </w:rPr>
                  <w:t>Шкала соответствия оценок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84"/>
        </w:trPr>
        <w:tc>
          <w:tcPr>
            <w:tcW w:type="dxa" w:w="574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43" w:history="1">
                <w:r>
                  <w:rPr>
                    <w:rStyle w:val="Hyperlink"/>
                  </w:rPr>
                  <w:t>Скидки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84"/>
        </w:trPr>
        <w:tc>
          <w:tcPr>
            <w:tcW w:type="dxa" w:w="72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44" w:history="1">
                <w:r>
                  <w:rPr>
                    <w:rStyle w:val="Hyperlink"/>
                  </w:rPr>
                  <w:t>Перенос второй пересдачи дисциплины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84"/>
        </w:trPr>
        <w:tc>
          <w:tcPr>
            <w:tcW w:type="dxa" w:w="88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35" w:history="1">
                <w:r>
                  <w:rPr>
                    <w:rStyle w:val="Hyperlink"/>
                  </w:rPr>
                  <w:t>Отсутствие на занятиях или элементах контроля по уважительной причине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84"/>
        </w:trPr>
        <w:tc>
          <w:tcPr>
            <w:tcW w:type="dxa" w:w="64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45" w:history="1">
                <w:r>
                  <w:rPr>
                    <w:rStyle w:val="Hyperlink"/>
                  </w:rPr>
                  <w:t>Академический отпуск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84"/>
        </w:trPr>
        <w:tc>
          <w:tcPr>
            <w:tcW w:type="dxa" w:w="59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46" w:history="1">
                <w:r>
                  <w:rPr>
                    <w:rStyle w:val="Hyperlink"/>
                  </w:rPr>
                  <w:t>Отчисление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64"/>
        </w:trPr>
        <w:tc>
          <w:tcPr>
            <w:tcW w:type="dxa" w:w="61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29" w:history="1">
                <w:r>
                  <w:rPr>
                    <w:rStyle w:val="Hyperlink"/>
                  </w:rPr>
                  <w:t>Восстановление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1181100</wp:posOffset>
            </wp:positionV>
            <wp:extent cx="508000" cy="2286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1562100</wp:posOffset>
            </wp:positionV>
            <wp:extent cx="1346200" cy="3048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1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2057400</wp:posOffset>
            </wp:positionV>
            <wp:extent cx="228600" cy="2286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78" w:after="0"/>
        <w:ind w:left="16" w:right="216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2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5" w:lineRule="auto" w:before="200" w:after="0"/>
        <w:ind w:left="16" w:right="748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7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Бизнес-инкубатор ВШЭ</w:t>
          </w:r>
        </w:hyperlink>
      </w:r>
    </w:p>
    <w:p>
      <w:pPr>
        <w:sectPr>
          <w:pgSz w:w="11918" w:h="16858"/>
          <w:pgMar w:top="930" w:right="828" w:bottom="47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3048000</wp:posOffset>
            </wp:positionV>
            <wp:extent cx="6877050" cy="456989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5" w:lineRule="auto" w:before="18" w:after="0"/>
        <w:ind w:left="300" w:right="5472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80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6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7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8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89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0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1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2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3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4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5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9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6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7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8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9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100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1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2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3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4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5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www.hse.ru/studyspravka/grafik/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yperlink" Target="https://www.hse.ru/studyspravka/syllabus" TargetMode="External"/><Relationship Id="rId16" Type="http://schemas.openxmlformats.org/officeDocument/2006/relationships/image" Target="media/image4.png"/><Relationship Id="rId17" Type="http://schemas.openxmlformats.org/officeDocument/2006/relationships/hyperlink" Target="https://electives.hse.ru/project_proff" TargetMode="External"/><Relationship Id="rId18" Type="http://schemas.openxmlformats.org/officeDocument/2006/relationships/hyperlink" Target="https://www.hse.ru/studyspravka/practice/" TargetMode="External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hyperlink" Target="https://www.hse.ru/studyspravka/Scale" TargetMode="External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hyperlink" Target="https://www.hse.ru/studyspravka/plagiat" TargetMode="External"/><Relationship Id="rId25" Type="http://schemas.openxmlformats.org/officeDocument/2006/relationships/hyperlink" Target="https://www.hse.ru/studyspravka/ai_guidelines" TargetMode="External"/><Relationship Id="rId26" Type="http://schemas.openxmlformats.org/officeDocument/2006/relationships/hyperlink" Target="http://www.hse.ru/studyspravka/repeated_courses" TargetMode="Externa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hyperlink" Target="https://www.hse.ru/studyspravka/vosst" TargetMode="External"/><Relationship Id="rId30" Type="http://schemas.openxmlformats.org/officeDocument/2006/relationships/hyperlink" Target="https://www.hse.ru/studyspravka/kud" TargetMode="External"/><Relationship Id="rId31" Type="http://schemas.openxmlformats.org/officeDocument/2006/relationships/hyperlink" Target="http://www.hse.ru/org/persons/66063/" TargetMode="External"/><Relationship Id="rId32" Type="http://schemas.openxmlformats.org/officeDocument/2006/relationships/hyperlink" Target="https://www.hse.ru/studyspravka/rate" TargetMode="External"/><Relationship Id="rId33" Type="http://schemas.openxmlformats.org/officeDocument/2006/relationships/hyperlink" Target="https://www.hse.ru/studyspravka/medcert/" TargetMode="External"/><Relationship Id="rId34" Type="http://schemas.openxmlformats.org/officeDocument/2006/relationships/image" Target="media/image11.png"/><Relationship Id="rId35" Type="http://schemas.openxmlformats.org/officeDocument/2006/relationships/hyperlink" Target="https://www.hse.ru/studyspravka/medcert" TargetMode="External"/><Relationship Id="rId36" Type="http://schemas.openxmlformats.org/officeDocument/2006/relationships/hyperlink" Target="http://www.hse.ru/docs/187025700.html" TargetMode="External"/><Relationship Id="rId37" Type="http://schemas.openxmlformats.org/officeDocument/2006/relationships/hyperlink" Target="https://www.hse.ru/docs/896351333.html" TargetMode="External"/><Relationship Id="rId38" Type="http://schemas.openxmlformats.org/officeDocument/2006/relationships/hyperlink" Target="https://www.hse.ru/docs/1026832917.html" TargetMode="External"/><Relationship Id="rId39" Type="http://schemas.openxmlformats.org/officeDocument/2006/relationships/hyperlink" Target="https://www.hse.ru/docs/1043432520.html" TargetMode="External"/><Relationship Id="rId40" Type="http://schemas.openxmlformats.org/officeDocument/2006/relationships/hyperlink" Target="https://www.hse.ru/studyspravka/plan" TargetMode="External"/><Relationship Id="rId41" Type="http://schemas.openxmlformats.org/officeDocument/2006/relationships/hyperlink" Target="https://www.hse.ru/studyspravka/credits/" TargetMode="External"/><Relationship Id="rId42" Type="http://schemas.openxmlformats.org/officeDocument/2006/relationships/hyperlink" Target="https://www.hse.ru/studyspravka/zachetbook" TargetMode="External"/><Relationship Id="rId43" Type="http://schemas.openxmlformats.org/officeDocument/2006/relationships/hyperlink" Target="https://www.hse.ru/studyspravka/Skidki" TargetMode="External"/><Relationship Id="rId44" Type="http://schemas.openxmlformats.org/officeDocument/2006/relationships/hyperlink" Target="https://www.hse.ru/studyspravka/repeated_courses" TargetMode="External"/><Relationship Id="rId45" Type="http://schemas.openxmlformats.org/officeDocument/2006/relationships/hyperlink" Target="https://www.hse.ru/studyspravka/academotpusk" TargetMode="External"/><Relationship Id="rId46" Type="http://schemas.openxmlformats.org/officeDocument/2006/relationships/hyperlink" Target="https://www.hse.ru/studyspravka/otch" TargetMode="External"/><Relationship Id="rId47" Type="http://schemas.openxmlformats.org/officeDocument/2006/relationships/image" Target="media/image12.png"/><Relationship Id="rId48" Type="http://schemas.openxmlformats.org/officeDocument/2006/relationships/image" Target="media/image13.png"/><Relationship Id="rId49" Type="http://schemas.openxmlformats.org/officeDocument/2006/relationships/image" Target="media/image14.png"/><Relationship Id="rId50" Type="http://schemas.openxmlformats.org/officeDocument/2006/relationships/image" Target="media/image15.png"/><Relationship Id="rId51" Type="http://schemas.openxmlformats.org/officeDocument/2006/relationships/image" Target="media/image16.png"/><Relationship Id="rId52" Type="http://schemas.openxmlformats.org/officeDocument/2006/relationships/hyperlink" Target="https://www.hse.ru/org/hse/info/" TargetMode="External"/><Relationship Id="rId53" Type="http://schemas.openxmlformats.org/officeDocument/2006/relationships/hyperlink" Target="https://figures.hse.ru/" TargetMode="External"/><Relationship Id="rId54" Type="http://schemas.openxmlformats.org/officeDocument/2006/relationships/hyperlink" Target="https://www.hse.ru/orgstructure/" TargetMode="External"/><Relationship Id="rId55" Type="http://schemas.openxmlformats.org/officeDocument/2006/relationships/hyperlink" Target="https://sustainability.hse.ru/" TargetMode="External"/><Relationship Id="rId56" Type="http://schemas.openxmlformats.org/officeDocument/2006/relationships/hyperlink" Target="https://www.hse.ru/org/persons/" TargetMode="External"/><Relationship Id="rId57" Type="http://schemas.openxmlformats.org/officeDocument/2006/relationships/hyperlink" Target="https://www.hse.ru/buildinghse" TargetMode="External"/><Relationship Id="rId58" Type="http://schemas.openxmlformats.org/officeDocument/2006/relationships/hyperlink" Target="https://www.hse.ru/org/hse/aup/procurement/" TargetMode="External"/><Relationship Id="rId59" Type="http://schemas.openxmlformats.org/officeDocument/2006/relationships/hyperlink" Target="https://www.hse.ru/appeal/" TargetMode="External"/><Relationship Id="rId60" Type="http://schemas.openxmlformats.org/officeDocument/2006/relationships/hyperlink" Target="https://endowment.hse.ru/" TargetMode="External"/><Relationship Id="rId61" Type="http://schemas.openxmlformats.org/officeDocument/2006/relationships/hyperlink" Target="https://www.hse.ru/anticorruption" TargetMode="External"/><Relationship Id="rId62" Type="http://schemas.openxmlformats.org/officeDocument/2006/relationships/hyperlink" Target="https://www.hse.ru/anticorruption/information" TargetMode="External"/><Relationship Id="rId63" Type="http://schemas.openxmlformats.org/officeDocument/2006/relationships/hyperlink" Target="https://www.hse.ru/sveden/" TargetMode="External"/><Relationship Id="rId64" Type="http://schemas.openxmlformats.org/officeDocument/2006/relationships/hyperlink" Target="https://inclusive.hse.ru/" TargetMode="External"/><Relationship Id="rId65" Type="http://schemas.openxmlformats.org/officeDocument/2006/relationships/hyperlink" Target="https://pay.hse.ru/" TargetMode="External"/><Relationship Id="rId66" Type="http://schemas.openxmlformats.org/officeDocument/2006/relationships/hyperlink" Target="https://www.hse.ru/career" TargetMode="External"/><Relationship Id="rId67" Type="http://schemas.openxmlformats.org/officeDocument/2006/relationships/hyperlink" Target="https://www.hse.ru/education/" TargetMode="External"/><Relationship Id="rId68" Type="http://schemas.openxmlformats.org/officeDocument/2006/relationships/hyperlink" Target="https://school.hse.ru/" TargetMode="External"/><Relationship Id="rId69" Type="http://schemas.openxmlformats.org/officeDocument/2006/relationships/hyperlink" Target="https://fdp.hse.ru/" TargetMode="External"/><Relationship Id="rId70" Type="http://schemas.openxmlformats.org/officeDocument/2006/relationships/hyperlink" Target="https://olymp.hse.ru/" TargetMode="External"/><Relationship Id="rId71" Type="http://schemas.openxmlformats.org/officeDocument/2006/relationships/hyperlink" Target="https://ba.hse.ru/" TargetMode="External"/><Relationship Id="rId72" Type="http://schemas.openxmlformats.org/officeDocument/2006/relationships/hyperlink" Target="https://www.hse.ru/plus" TargetMode="External"/><Relationship Id="rId73" Type="http://schemas.openxmlformats.org/officeDocument/2006/relationships/hyperlink" Target="https://ma.hse.ru/" TargetMode="External"/><Relationship Id="rId74" Type="http://schemas.openxmlformats.org/officeDocument/2006/relationships/hyperlink" Target="https://aspirantura.hse.ru/" TargetMode="External"/><Relationship Id="rId75" Type="http://schemas.openxmlformats.org/officeDocument/2006/relationships/hyperlink" Target="https://busedu.hse.ru/" TargetMode="External"/><Relationship Id="rId76" Type="http://schemas.openxmlformats.org/officeDocument/2006/relationships/hyperlink" Target="https://career.hse.ru/" TargetMode="External"/><Relationship Id="rId77" Type="http://schemas.openxmlformats.org/officeDocument/2006/relationships/hyperlink" Target="http://inc.hse.ru/" TargetMode="External"/><Relationship Id="rId78" Type="http://schemas.openxmlformats.org/officeDocument/2006/relationships/hyperlink" Target="https://dd.hse.ru/" TargetMode="External"/><Relationship Id="rId79" Type="http://schemas.openxmlformats.org/officeDocument/2006/relationships/hyperlink" Target="https://www.hse.ru/feedback" TargetMode="External"/><Relationship Id="rId80" Type="http://schemas.openxmlformats.org/officeDocument/2006/relationships/hyperlink" Target="https://www.hse.ru/science/" TargetMode="External"/><Relationship Id="rId81" Type="http://schemas.openxmlformats.org/officeDocument/2006/relationships/hyperlink" Target="https://www.hse.ru/science/centers" TargetMode="External"/><Relationship Id="rId82" Type="http://schemas.openxmlformats.org/officeDocument/2006/relationships/hyperlink" Target="https://www.hse.ru/org/projects/" TargetMode="External"/><Relationship Id="rId83" Type="http://schemas.openxmlformats.org/officeDocument/2006/relationships/hyperlink" Target="https://www.hse.ru/monitoring/" TargetMode="External"/><Relationship Id="rId84" Type="http://schemas.openxmlformats.org/officeDocument/2006/relationships/hyperlink" Target="https://www.hse.ru/science/disscoun/" TargetMode="External"/><Relationship Id="rId85" Type="http://schemas.openxmlformats.org/officeDocument/2006/relationships/hyperlink" Target="https://aspirantura.hse.ru/defence/announcements/" TargetMode="External"/><Relationship Id="rId86" Type="http://schemas.openxmlformats.org/officeDocument/2006/relationships/hyperlink" Target="https://academics.hse.ru/" TargetMode="External"/><Relationship Id="rId87" Type="http://schemas.openxmlformats.org/officeDocument/2006/relationships/hyperlink" Target="https://www.hse.ru/science/hsegrants" TargetMode="External"/><Relationship Id="rId88" Type="http://schemas.openxmlformats.org/officeDocument/2006/relationships/hyperlink" Target="https://sezam.hse.ru/" TargetMode="External"/><Relationship Id="rId89" Type="http://schemas.openxmlformats.org/officeDocument/2006/relationships/hyperlink" Target="https://publications.hse.ru/" TargetMode="External"/><Relationship Id="rId90" Type="http://schemas.openxmlformats.org/officeDocument/2006/relationships/hyperlink" Target="https://library.hse.ru/" TargetMode="External"/><Relationship Id="rId91" Type="http://schemas.openxmlformats.org/officeDocument/2006/relationships/hyperlink" Target="https://id.hse.ru/" TargetMode="External"/><Relationship Id="rId92" Type="http://schemas.openxmlformats.org/officeDocument/2006/relationships/hyperlink" Target="https://bookshop.hse.ru/" TargetMode="External"/><Relationship Id="rId93" Type="http://schemas.openxmlformats.org/officeDocument/2006/relationships/hyperlink" Target="https://print.hse.ru/" TargetMode="External"/><Relationship Id="rId94" Type="http://schemas.openxmlformats.org/officeDocument/2006/relationships/hyperlink" Target="https://mc.hse.ru/" TargetMode="External"/><Relationship Id="rId95" Type="http://schemas.openxmlformats.org/officeDocument/2006/relationships/hyperlink" Target="https://www.hse.ru/science/journals" TargetMode="External"/><Relationship Id="rId96" Type="http://schemas.openxmlformats.org/officeDocument/2006/relationships/hyperlink" Target="http://www.minobrnauki.gov.ru/" TargetMode="External"/><Relationship Id="rId97" Type="http://schemas.openxmlformats.org/officeDocument/2006/relationships/hyperlink" Target="https://edu.gov.ru/" TargetMode="External"/><Relationship Id="rId98" Type="http://schemas.openxmlformats.org/officeDocument/2006/relationships/hyperlink" Target="http://www.edu.ru/" TargetMode="External"/><Relationship Id="rId99" Type="http://schemas.openxmlformats.org/officeDocument/2006/relationships/hyperlink" Target="https://elearning.hse.ru/mooc" TargetMode="External"/><Relationship Id="rId100" Type="http://schemas.openxmlformats.org/officeDocument/2006/relationships/hyperlink" Target="https://www.hse.ru/adm/edit/edit.html?goto=%2AL3N0dWR5c3ByYXZrYS9rb250cj9fcj0zNjIzNjkyMTc3NTA4MTc4OS4yNzc3Nw%3D%3D%5E&amp;id=33798497&amp;cid=20594&amp;addon_name=default&amp;newportal=1" TargetMode="External"/><Relationship Id="rId101" Type="http://schemas.openxmlformats.org/officeDocument/2006/relationships/hyperlink" Target="https://www.hse.ru/contacts.html" TargetMode="External"/><Relationship Id="rId102" Type="http://schemas.openxmlformats.org/officeDocument/2006/relationships/hyperlink" Target="https://www.hse.ru/copyright" TargetMode="External"/><Relationship Id="rId103" Type="http://schemas.openxmlformats.org/officeDocument/2006/relationships/hyperlink" Target="https://www.hse.ru/data_protection_regulation" TargetMode="External"/><Relationship Id="rId104" Type="http://schemas.openxmlformats.org/officeDocument/2006/relationships/hyperlink" Target="https://www.hse.ru/sitemap.html" TargetMode="External"/><Relationship Id="rId105" Type="http://schemas.openxmlformats.org/officeDocument/2006/relationships/hyperlink" Target="https://design.hse.ru/" TargetMode="External"/><Relationship Id="rId10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