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3362960</wp:posOffset>
            </wp:positionH>
            <wp:positionV relativeFrom="page">
              <wp:posOffset>6276340</wp:posOffset>
            </wp:positionV>
            <wp:extent cx="190500" cy="1905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5943600</wp:posOffset>
            </wp:positionV>
            <wp:extent cx="6502400" cy="8255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825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966" w:val="left"/>
        </w:tabs>
        <w:autoSpaceDE w:val="0"/>
        <w:widowControl/>
        <w:spacing w:line="240" w:lineRule="auto" w:before="198" w:after="0"/>
        <w:ind w:left="678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0" w:lineRule="auto" w:before="1446" w:after="638"/>
        <w:ind w:left="304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Отчисление студентов НИУ ВШЭ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722"/>
        </w:trPr>
        <w:tc>
          <w:tcPr>
            <w:tcW w:type="dxa" w:w="10066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8" w:after="0"/>
              <w:ind w:left="458" w:right="864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В каких случаях студент может быть отчислен из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Высшей школы экономики?</w:t>
            </w:r>
          </w:p>
        </w:tc>
      </w:tr>
    </w:tbl>
    <w:p>
      <w:pPr>
        <w:autoSpaceDN w:val="0"/>
        <w:autoSpaceDE w:val="0"/>
        <w:widowControl/>
        <w:spacing w:line="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3608"/>
        <w:gridCol w:w="3608"/>
        <w:gridCol w:w="3608"/>
      </w:tblGrid>
      <w:tr>
        <w:trPr>
          <w:trHeight w:hRule="exact" w:val="526"/>
        </w:trPr>
        <w:tc>
          <w:tcPr>
            <w:tcW w:type="dxa" w:w="863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Студент отчисляется в следующих случаях:</w:t>
            </w:r>
          </w:p>
        </w:tc>
        <w:tc>
          <w:tcPr>
            <w:tcW w:type="dxa" w:w="1428"/>
            <w:vMerge w:val="restart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0"/>
        </w:trPr>
        <w:tc>
          <w:tcPr>
            <w:tcW w:type="dxa" w:w="137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7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 связи с получением образования (завершением обучения)</w:t>
            </w:r>
          </w:p>
        </w:tc>
        <w:tc>
          <w:tcPr>
            <w:tcW w:type="dxa" w:w="3608"/>
            <w:vMerge/>
            <w:tcBorders>
              <w:bottom w:sz="6.0" w:val="single" w:color="#EFEFEF"/>
            </w:tcBorders>
          </w:tcPr>
          <w:p/>
        </w:tc>
      </w:tr>
      <w:tr>
        <w:trPr>
          <w:trHeight w:hRule="exact" w:val="1232"/>
        </w:trPr>
        <w:tc>
          <w:tcPr>
            <w:tcW w:type="dxa" w:w="1378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7260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Досрочно, по следующим основаниям:</w:t>
            </w:r>
          </w:p>
        </w:tc>
        <w:tc>
          <w:tcPr>
            <w:tcW w:type="dxa" w:w="3608"/>
            <w:vMerge/>
            <w:tcBorders>
              <w:bottom w:sz="6.0" w:val="single" w:color="#EFEFEF"/>
            </w:tcBorders>
          </w:tcPr>
          <w:p/>
        </w:tc>
      </w:tr>
      <w:tr>
        <w:trPr>
          <w:trHeight w:hRule="exact" w:val="2258"/>
        </w:trPr>
        <w:tc>
          <w:tcPr>
            <w:tcW w:type="dxa" w:w="8638"/>
            <w:gridSpan w:val="2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90" w:after="0"/>
              <w:ind w:left="234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 xml:space="preserve">По собственному желанию </w:t>
            </w:r>
          </w:p>
        </w:tc>
        <w:tc>
          <w:tcPr>
            <w:tcW w:type="dxa" w:w="1428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08" w:after="0"/>
              <w:ind w:left="9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18"/>
              </w:rPr>
              <w:t>свернуть все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5412"/>
        <w:gridCol w:w="5412"/>
      </w:tblGrid>
      <w:tr>
        <w:trPr>
          <w:trHeight w:hRule="exact" w:val="810"/>
        </w:trPr>
        <w:tc>
          <w:tcPr>
            <w:tcW w:type="dxa" w:w="1021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214"/>
            </w:tblGrid>
            <w:tr>
              <w:trPr>
                <w:trHeight w:hRule="exact" w:val="800"/>
              </w:trPr>
              <w:tc>
                <w:tcPr>
                  <w:tcW w:type="dxa" w:w="10214"/>
                  <w:tcBorders/>
                  <w:shd w:fill="f7d8c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06" w:after="0"/>
                    <w:ind w:left="300" w:right="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7AC5"/>
                      <w:sz w:val="31"/>
                    </w:rPr>
                    <w:t>По обстоятельствам, не зависящим от воли студента и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840"/>
        </w:trPr>
        <w:tc>
          <w:tcPr>
            <w:tcW w:type="dxa" w:w="23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00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>университета</w:t>
            </w: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 xml:space="preserve"> </w:t>
            </w:r>
          </w:p>
        </w:tc>
        <w:tc>
          <w:tcPr>
            <w:tcW w:type="dxa" w:w="785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2047239</wp:posOffset>
                  </wp:positionH>
                  <wp:positionV relativeFrom="page">
                    <wp:posOffset>7515859</wp:posOffset>
                  </wp:positionV>
                  <wp:extent cx="190500" cy="190500"/>
                  <wp:wrapNone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5412"/>
        <w:gridCol w:w="5412"/>
      </w:tblGrid>
      <w:tr>
        <w:trPr>
          <w:trHeight w:hRule="exact" w:val="1556"/>
        </w:trPr>
        <w:tc>
          <w:tcPr>
            <w:tcW w:type="dxa" w:w="47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4704"/>
            </w:tblGrid>
            <w:tr>
              <w:trPr>
                <w:trHeight w:hRule="exact" w:val="1256"/>
              </w:trPr>
              <w:tc>
                <w:tcPr>
                  <w:tcW w:type="dxa" w:w="4704"/>
                  <w:tcBorders/>
                  <w:shd w:fill="f7d8c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14" w:after="0"/>
                    <w:ind w:left="300" w:right="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7AC5"/>
                      <w:sz w:val="31"/>
                    </w:rPr>
                    <w:t xml:space="preserve">По инициативе университета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5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10" w:after="0"/>
              <w:ind w:left="2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3543300</wp:posOffset>
                  </wp:positionH>
                  <wp:positionV relativeFrom="page">
                    <wp:posOffset>8515350</wp:posOffset>
                  </wp:positionV>
                  <wp:extent cx="190500" cy="190500"/>
                  <wp:wrapNone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438" w:right="542" w:bottom="33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</w:p>
    <w:p>
      <w:pPr>
        <w:autoSpaceDN w:val="0"/>
        <w:autoSpaceDE w:val="0"/>
        <w:widowControl/>
        <w:spacing w:line="2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708"/>
        </w:trPr>
        <w:tc>
          <w:tcPr>
            <w:tcW w:type="dxa" w:w="10066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8" w:after="0"/>
              <w:ind w:left="458" w:right="3024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Что такое добросовестное освоение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образовательной программы</w:t>
            </w:r>
          </w:p>
        </w:tc>
      </w:tr>
    </w:tbl>
    <w:p>
      <w:pPr>
        <w:autoSpaceDN w:val="0"/>
        <w:autoSpaceDE w:val="0"/>
        <w:widowControl/>
        <w:spacing w:line="259" w:lineRule="auto" w:before="146" w:after="0"/>
        <w:ind w:left="8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 должен добросовестно осваивать образовательную программу, что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означает:</w:t>
      </w:r>
    </w:p>
    <w:p>
      <w:pPr>
        <w:autoSpaceDN w:val="0"/>
        <w:autoSpaceDE w:val="0"/>
        <w:widowControl/>
        <w:spacing w:line="264" w:lineRule="auto" w:before="260" w:after="0"/>
        <w:ind w:left="1428" w:right="158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выполнение учебного плана, в том числе посещении занятий 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соответствии с расписанием;</w:t>
      </w:r>
    </w:p>
    <w:p>
      <w:pPr>
        <w:autoSpaceDN w:val="0"/>
        <w:autoSpaceDE w:val="0"/>
        <w:widowControl/>
        <w:spacing w:line="266" w:lineRule="auto" w:before="246" w:after="0"/>
        <w:ind w:left="1428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консультирование у преподавателей или учебных ассистентов (при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наличии у студента трудностей в освоении образовательной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программы);</w:t>
      </w:r>
    </w:p>
    <w:p>
      <w:pPr>
        <w:autoSpaceDN w:val="0"/>
        <w:autoSpaceDE w:val="0"/>
        <w:widowControl/>
        <w:spacing w:line="264" w:lineRule="auto" w:before="246" w:after="0"/>
        <w:ind w:left="1428" w:right="187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отсутствие академических задолженностей или наличие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академических задолженностей не более чем по двум разным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элементам учебного плана до периода пересдач;</w:t>
      </w:r>
    </w:p>
    <w:p>
      <w:pPr>
        <w:autoSpaceDN w:val="0"/>
        <w:autoSpaceDE w:val="0"/>
        <w:widowControl/>
        <w:spacing w:line="269" w:lineRule="auto" w:before="246" w:after="34"/>
        <w:ind w:left="14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самостоятельная подготовка к занятиям в соответствии с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программами учебных дисциплин (в том числе изучение литературы 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содержания иных ресурсов, предусмотренных в ПУД), выполнении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заданий, данных преподавателями в рамках освоения элементов ПУД,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24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10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прохождении элементов контроля.</w:t>
            </w:r>
          </w:p>
        </w:tc>
      </w:tr>
    </w:tbl>
    <w:p>
      <w:pPr>
        <w:autoSpaceDN w:val="0"/>
        <w:autoSpaceDE w:val="0"/>
        <w:widowControl/>
        <w:spacing w:line="3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264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2" w:after="0"/>
              <w:ind w:left="82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Качество учебной деятельности (КУД)</w:t>
            </w:r>
          </w:p>
        </w:tc>
      </w:tr>
    </w:tbl>
    <w:p>
      <w:pPr>
        <w:autoSpaceDN w:val="0"/>
        <w:autoSpaceDE w:val="0"/>
        <w:widowControl/>
        <w:spacing w:line="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426"/>
        </w:trPr>
        <w:tc>
          <w:tcPr>
            <w:tcW w:type="dxa" w:w="102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 1 марта 2024 г. в отношении каждого студента по итогам сессий,</w:t>
            </w:r>
          </w:p>
        </w:tc>
      </w:tr>
    </w:tbl>
    <w:p>
      <w:pPr>
        <w:autoSpaceDN w:val="0"/>
        <w:autoSpaceDE w:val="0"/>
        <w:widowControl/>
        <w:spacing w:line="259" w:lineRule="auto" w:before="24" w:after="34"/>
        <w:ind w:left="720" w:right="1296" w:firstLine="0"/>
        <w:jc w:val="center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организуемых в соответствии с графиком учебного процесса и учебным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планом образовательной программы, учебным офисом рассчитывается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30"/>
        </w:trPr>
        <w:tc>
          <w:tcPr>
            <w:tcW w:type="dxa" w:w="836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показатель качества учебной деятельности (КУД).</w:t>
            </w:r>
          </w:p>
        </w:tc>
      </w:tr>
    </w:tbl>
    <w:p>
      <w:pPr>
        <w:autoSpaceDN w:val="0"/>
        <w:autoSpaceDE w:val="0"/>
        <w:widowControl/>
        <w:spacing w:line="1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24"/>
        </w:trPr>
        <w:tc>
          <w:tcPr>
            <w:tcW w:type="dxa" w:w="942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Студенты, КУД которых превышает критическое значение (с учетом</w:t>
            </w:r>
          </w:p>
        </w:tc>
      </w:tr>
    </w:tbl>
    <w:p>
      <w:pPr>
        <w:autoSpaceDN w:val="0"/>
        <w:autoSpaceDE w:val="0"/>
        <w:widowControl/>
        <w:spacing w:line="266" w:lineRule="auto" w:before="26" w:after="26"/>
        <w:ind w:left="828" w:right="72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отнесения студента к отдельной категории и наличия или отсутствия повтора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критической ситуации), подлежат отчислению как не выполняющие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обязанности по добросовестному освоению образовательной программы и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674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выполнению учебного плана.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222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2360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76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Подробная информация на 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4" w:history="1">
                <w:r>
                  <w:rPr>
                    <w:rStyle w:val="Hyperlink"/>
                  </w:rPr>
                  <w:t>странице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.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5208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2971800</wp:posOffset>
                  </wp:positionH>
                  <wp:positionV relativeFrom="page">
                    <wp:posOffset>647700</wp:posOffset>
                  </wp:positionV>
                  <wp:extent cx="698500" cy="25400"/>
                  <wp:wrapNone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2924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98" w:after="0"/>
              <w:ind w:left="828" w:right="1584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Может ли студент быть отчислен во время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болезни, академического отпуска, отпуска по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беременности и родам, отпуска по уходу за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ребёнком до достижения им возраста 3-х лет?</w:t>
            </w:r>
          </w:p>
        </w:tc>
      </w:tr>
    </w:tbl>
    <w:p>
      <w:pPr>
        <w:autoSpaceDN w:val="0"/>
        <w:autoSpaceDE w:val="0"/>
        <w:widowControl/>
        <w:spacing w:line="240" w:lineRule="auto" w:before="140" w:after="34"/>
        <w:ind w:left="828" w:right="0" w:firstLine="0"/>
        <w:jc w:val="left"/>
      </w:pPr>
      <w:r>
        <w:rPr>
          <w:shd w:val="clear" w:color="auto" w:fill="000095"/>
          <w:w w:val="98.07692307692307"/>
          <w:rFonts w:ascii="Segoe UI" w:hAnsi="Segoe UI" w:eastAsia="Segoe UI"/>
          <w:b w:val="0"/>
          <w:i w:val="0"/>
          <w:color w:val="000000"/>
          <w:sz w:val="26"/>
        </w:rPr>
        <w:t>В этот период не допускается отчисление студента как мера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24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дисциплинарного взыскания.</w:t>
            </w:r>
          </w:p>
        </w:tc>
      </w:tr>
    </w:tbl>
    <w:p>
      <w:pPr>
        <w:autoSpaceDN w:val="0"/>
        <w:autoSpaceDE w:val="0"/>
        <w:widowControl/>
        <w:spacing w:line="3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258"/>
        </w:trPr>
        <w:tc>
          <w:tcPr>
            <w:tcW w:type="dxa" w:w="10066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8" w:after="0"/>
              <w:ind w:left="4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Документы</w:t>
            </w:r>
          </w:p>
        </w:tc>
      </w:tr>
    </w:tbl>
    <w:p>
      <w:pPr>
        <w:autoSpaceDN w:val="0"/>
        <w:autoSpaceDE w:val="0"/>
        <w:widowControl/>
        <w:spacing w:line="240" w:lineRule="auto" w:before="146" w:after="0"/>
        <w:ind w:left="828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6" w:history="1">
          <w:r>
            <w:rPr>
              <w:rStyle w:val="Hyperlink"/>
            </w:rPr>
            <w:t>Порядок и основания отчисления обучающихся из Национального</w:t>
          </w:r>
        </w:hyperlink>
      </w:r>
    </w:p>
    <w:p>
      <w:pPr>
        <w:autoSpaceDN w:val="0"/>
        <w:autoSpaceDE w:val="0"/>
        <w:widowControl/>
        <w:spacing w:line="240" w:lineRule="auto" w:before="50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6" w:history="1">
          <w:r>
            <w:rPr>
              <w:rStyle w:val="Hyperlink"/>
            </w:rPr>
            <w:t>исследовательского университета «Высшая школа экономики»</w:t>
          </w:r>
        </w:hyperlink>
      </w:r>
    </w:p>
    <w:p>
      <w:pPr>
        <w:autoSpaceDN w:val="0"/>
        <w:autoSpaceDE w:val="0"/>
        <w:widowControl/>
        <w:spacing w:line="240" w:lineRule="auto" w:before="0" w:after="0"/>
        <w:ind w:left="82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876300</wp:posOffset>
            </wp:positionH>
            <wp:positionV relativeFrom="page">
              <wp:posOffset>5842000</wp:posOffset>
            </wp:positionV>
            <wp:extent cx="4711700" cy="254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34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8" w:history="1">
          <w:r>
            <w:rPr>
              <w:rStyle w:val="Hyperlink"/>
            </w:rPr>
            <w:t>Правила внутреннего распорядка обучающихся Национального</w:t>
          </w:r>
        </w:hyperlink>
      </w:r>
    </w:p>
    <w:p>
      <w:pPr>
        <w:autoSpaceDN w:val="0"/>
        <w:autoSpaceDE w:val="0"/>
        <w:widowControl/>
        <w:spacing w:line="240" w:lineRule="auto" w:before="0" w:after="0"/>
        <w:ind w:left="82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876300</wp:posOffset>
            </wp:positionH>
            <wp:positionV relativeFrom="page">
              <wp:posOffset>6223000</wp:posOffset>
            </wp:positionV>
            <wp:extent cx="4826000" cy="254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4" w:after="0"/>
        <w:ind w:left="828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8" w:history="1">
          <w:r>
            <w:rPr>
              <w:rStyle w:val="Hyperlink"/>
            </w:rPr>
            <w:t>исследовательского университета Высшая школа экономики»</w:t>
          </w:r>
        </w:hyperlink>
      </w:r>
    </w:p>
    <w:p>
      <w:pPr>
        <w:autoSpaceDN w:val="0"/>
        <w:autoSpaceDE w:val="0"/>
        <w:widowControl/>
        <w:spacing w:line="240" w:lineRule="auto" w:before="260" w:after="0"/>
        <w:ind w:left="828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0" w:history="1">
          <w:r>
            <w:rPr>
              <w:rStyle w:val="Hyperlink"/>
            </w:rPr>
            <w:t>Положение об организации промежуточной аттестации и текущего</w:t>
          </w:r>
        </w:hyperlink>
      </w:r>
    </w:p>
    <w:p>
      <w:pPr>
        <w:autoSpaceDN w:val="0"/>
        <w:autoSpaceDE w:val="0"/>
        <w:widowControl/>
        <w:spacing w:line="240" w:lineRule="auto" w:before="66" w:after="0"/>
        <w:ind w:left="828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0" w:history="1">
          <w:r>
            <w:rPr>
              <w:rStyle w:val="Hyperlink"/>
            </w:rPr>
            <w:t>контроля успеваемости студентов Национального исследовательского</w:t>
          </w:r>
        </w:hyperlink>
      </w:r>
    </w:p>
    <w:p>
      <w:pPr>
        <w:autoSpaceDN w:val="0"/>
        <w:autoSpaceDE w:val="0"/>
        <w:widowControl/>
        <w:spacing w:line="240" w:lineRule="auto" w:before="52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0" w:history="1">
          <w:r>
            <w:rPr>
              <w:rStyle w:val="Hyperlink"/>
            </w:rPr>
            <w:t>университета «Высшая школа экономики» (ПОПАТКУС)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(действует</w:t>
      </w:r>
    </w:p>
    <w:p>
      <w:pPr>
        <w:autoSpaceDN w:val="0"/>
        <w:autoSpaceDE w:val="0"/>
        <w:widowControl/>
        <w:spacing w:line="240" w:lineRule="auto" w:before="0" w:after="16"/>
        <w:ind w:left="82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876300</wp:posOffset>
            </wp:positionH>
            <wp:positionV relativeFrom="page">
              <wp:posOffset>7353300</wp:posOffset>
            </wp:positionV>
            <wp:extent cx="4140200" cy="254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402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06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c 01.09.2025)</w:t>
            </w:r>
          </w:p>
        </w:tc>
      </w:tr>
    </w:tbl>
    <w:p>
      <w:pPr>
        <w:autoSpaceDN w:val="0"/>
        <w:autoSpaceDE w:val="0"/>
        <w:widowControl/>
        <w:spacing w:line="240" w:lineRule="auto" w:before="1178" w:after="0"/>
        <w:ind w:left="28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8839200</wp:posOffset>
            </wp:positionV>
            <wp:extent cx="508000" cy="2413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28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9220200</wp:posOffset>
            </wp:positionV>
            <wp:extent cx="1346200" cy="3175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96" w:after="0"/>
        <w:ind w:left="30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9725660</wp:posOffset>
            </wp:positionV>
            <wp:extent cx="228600" cy="2286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18" w:h="16858"/>
          <w:pgMar w:top="0" w:right="542" w:bottom="33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40" w:lineRule="auto" w:before="10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50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36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60" w:lineRule="auto" w:before="978" w:after="0"/>
        <w:ind w:left="300" w:right="2448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25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6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7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8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9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0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1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2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3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60" w:lineRule="auto" w:before="200" w:after="0"/>
        <w:ind w:left="300" w:right="5472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40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9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0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1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43" w:lineRule="auto" w:before="200" w:after="0"/>
        <w:ind w:left="300" w:right="792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3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Защиты диссертаций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980440</wp:posOffset>
            </wp:positionV>
            <wp:extent cx="6877050" cy="456989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4569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18" w:after="0"/>
        <w:ind w:left="300" w:right="6480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50" w:lineRule="auto" w:before="200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62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38" w:lineRule="auto" w:before="200" w:after="0"/>
        <w:ind w:left="300" w:right="604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0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1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2" w:history="1">
          <w:r>
            <w:rPr>
              <w:rStyle w:val="Hyperlink"/>
            </w:rPr>
            <w:t>Массовые открытые онлайн-курсы</w:t>
          </w:r>
        </w:hyperlink>
      </w:r>
    </w:p>
    <w:p>
      <w:pPr>
        <w:autoSpaceDN w:val="0"/>
        <w:autoSpaceDE w:val="0"/>
        <w:widowControl/>
        <w:spacing w:line="281" w:lineRule="auto" w:before="166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AAAAAA"/>
          <w:sz w:val="15"/>
        </w:rPr>
        <w:hyperlink r:id="rId73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4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5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6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7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8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yperlink" Target="https://www.hse.ru/studyspravka/kud" TargetMode="External"/><Relationship Id="rId15" Type="http://schemas.openxmlformats.org/officeDocument/2006/relationships/image" Target="media/image4.png"/><Relationship Id="rId16" Type="http://schemas.openxmlformats.org/officeDocument/2006/relationships/hyperlink" Target="https://www.hse.ru/docs/896351333.html" TargetMode="External"/><Relationship Id="rId17" Type="http://schemas.openxmlformats.org/officeDocument/2006/relationships/image" Target="media/image5.png"/><Relationship Id="rId18" Type="http://schemas.openxmlformats.org/officeDocument/2006/relationships/hyperlink" Target="https://www.hse.ru/docs/187025700.html" TargetMode="External"/><Relationship Id="rId19" Type="http://schemas.openxmlformats.org/officeDocument/2006/relationships/image" Target="media/image6.png"/><Relationship Id="rId20" Type="http://schemas.openxmlformats.org/officeDocument/2006/relationships/hyperlink" Target="https://www.hse.ru/docs/1026832917.html" TargetMode="External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image" Target="media/image9.png"/><Relationship Id="rId24" Type="http://schemas.openxmlformats.org/officeDocument/2006/relationships/image" Target="media/image10.png"/><Relationship Id="rId25" Type="http://schemas.openxmlformats.org/officeDocument/2006/relationships/hyperlink" Target="https://www.hse.ru/org/hse/info/" TargetMode="External"/><Relationship Id="rId26" Type="http://schemas.openxmlformats.org/officeDocument/2006/relationships/hyperlink" Target="https://figures.hse.ru/" TargetMode="External"/><Relationship Id="rId27" Type="http://schemas.openxmlformats.org/officeDocument/2006/relationships/hyperlink" Target="https://www.hse.ru/orgstructure/" TargetMode="External"/><Relationship Id="rId28" Type="http://schemas.openxmlformats.org/officeDocument/2006/relationships/hyperlink" Target="https://sustainability.hse.ru/" TargetMode="External"/><Relationship Id="rId29" Type="http://schemas.openxmlformats.org/officeDocument/2006/relationships/hyperlink" Target="https://www.hse.ru/org/persons/" TargetMode="External"/><Relationship Id="rId30" Type="http://schemas.openxmlformats.org/officeDocument/2006/relationships/hyperlink" Target="https://www.hse.ru/buildinghse" TargetMode="External"/><Relationship Id="rId31" Type="http://schemas.openxmlformats.org/officeDocument/2006/relationships/hyperlink" Target="https://www.hse.ru/org/hse/aup/procurement/" TargetMode="External"/><Relationship Id="rId32" Type="http://schemas.openxmlformats.org/officeDocument/2006/relationships/hyperlink" Target="https://www.hse.ru/appeal/" TargetMode="External"/><Relationship Id="rId33" Type="http://schemas.openxmlformats.org/officeDocument/2006/relationships/hyperlink" Target="https://endowment.hse.ru/" TargetMode="External"/><Relationship Id="rId34" Type="http://schemas.openxmlformats.org/officeDocument/2006/relationships/hyperlink" Target="https://www.hse.ru/anticorruption" TargetMode="External"/><Relationship Id="rId35" Type="http://schemas.openxmlformats.org/officeDocument/2006/relationships/hyperlink" Target="https://www.hse.ru/anticorruption/information" TargetMode="External"/><Relationship Id="rId36" Type="http://schemas.openxmlformats.org/officeDocument/2006/relationships/hyperlink" Target="https://www.hse.ru/sveden/" TargetMode="External"/><Relationship Id="rId37" Type="http://schemas.openxmlformats.org/officeDocument/2006/relationships/hyperlink" Target="https://inclusive.hse.ru/" TargetMode="External"/><Relationship Id="rId38" Type="http://schemas.openxmlformats.org/officeDocument/2006/relationships/hyperlink" Target="https://pay.hse.ru/" TargetMode="External"/><Relationship Id="rId39" Type="http://schemas.openxmlformats.org/officeDocument/2006/relationships/hyperlink" Target="https://www.hse.ru/career" TargetMode="External"/><Relationship Id="rId40" Type="http://schemas.openxmlformats.org/officeDocument/2006/relationships/hyperlink" Target="https://www.hse.ru/education/" TargetMode="External"/><Relationship Id="rId41" Type="http://schemas.openxmlformats.org/officeDocument/2006/relationships/hyperlink" Target="https://school.hse.ru/" TargetMode="External"/><Relationship Id="rId42" Type="http://schemas.openxmlformats.org/officeDocument/2006/relationships/hyperlink" Target="https://fdp.hse.ru/" TargetMode="External"/><Relationship Id="rId43" Type="http://schemas.openxmlformats.org/officeDocument/2006/relationships/hyperlink" Target="https://olymp.hse.ru/" TargetMode="External"/><Relationship Id="rId44" Type="http://schemas.openxmlformats.org/officeDocument/2006/relationships/hyperlink" Target="https://ba.hse.ru/" TargetMode="External"/><Relationship Id="rId45" Type="http://schemas.openxmlformats.org/officeDocument/2006/relationships/hyperlink" Target="https://www.hse.ru/plus" TargetMode="External"/><Relationship Id="rId46" Type="http://schemas.openxmlformats.org/officeDocument/2006/relationships/hyperlink" Target="https://ma.hse.ru/" TargetMode="External"/><Relationship Id="rId47" Type="http://schemas.openxmlformats.org/officeDocument/2006/relationships/hyperlink" Target="https://aspirantura.hse.ru/" TargetMode="External"/><Relationship Id="rId48" Type="http://schemas.openxmlformats.org/officeDocument/2006/relationships/hyperlink" Target="https://busedu.hse.ru/" TargetMode="External"/><Relationship Id="rId49" Type="http://schemas.openxmlformats.org/officeDocument/2006/relationships/hyperlink" Target="https://career.hse.ru/" TargetMode="External"/><Relationship Id="rId50" Type="http://schemas.openxmlformats.org/officeDocument/2006/relationships/hyperlink" Target="http://inc.hse.ru/" TargetMode="External"/><Relationship Id="rId51" Type="http://schemas.openxmlformats.org/officeDocument/2006/relationships/hyperlink" Target="https://dd.hse.ru/" TargetMode="External"/><Relationship Id="rId52" Type="http://schemas.openxmlformats.org/officeDocument/2006/relationships/hyperlink" Target="https://www.hse.ru/feedback" TargetMode="External"/><Relationship Id="rId53" Type="http://schemas.openxmlformats.org/officeDocument/2006/relationships/hyperlink" Target="https://www.hse.ru/science/" TargetMode="External"/><Relationship Id="rId54" Type="http://schemas.openxmlformats.org/officeDocument/2006/relationships/hyperlink" Target="https://www.hse.ru/science/centers" TargetMode="External"/><Relationship Id="rId55" Type="http://schemas.openxmlformats.org/officeDocument/2006/relationships/hyperlink" Target="https://www.hse.ru/org/projects/" TargetMode="External"/><Relationship Id="rId56" Type="http://schemas.openxmlformats.org/officeDocument/2006/relationships/hyperlink" Target="https://www.hse.ru/monitoring/" TargetMode="External"/><Relationship Id="rId57" Type="http://schemas.openxmlformats.org/officeDocument/2006/relationships/hyperlink" Target="https://www.hse.ru/science/disscoun/" TargetMode="External"/><Relationship Id="rId58" Type="http://schemas.openxmlformats.org/officeDocument/2006/relationships/hyperlink" Target="https://aspirantura.hse.ru/defence/announcements/" TargetMode="External"/><Relationship Id="rId59" Type="http://schemas.openxmlformats.org/officeDocument/2006/relationships/hyperlink" Target="https://academics.hse.ru/" TargetMode="External"/><Relationship Id="rId60" Type="http://schemas.openxmlformats.org/officeDocument/2006/relationships/hyperlink" Target="https://www.hse.ru/science/hsegrants" TargetMode="External"/><Relationship Id="rId61" Type="http://schemas.openxmlformats.org/officeDocument/2006/relationships/hyperlink" Target="https://sezam.hse.ru/" TargetMode="External"/><Relationship Id="rId62" Type="http://schemas.openxmlformats.org/officeDocument/2006/relationships/hyperlink" Target="https://publications.hse.ru/" TargetMode="External"/><Relationship Id="rId63" Type="http://schemas.openxmlformats.org/officeDocument/2006/relationships/hyperlink" Target="https://library.hse.ru/" TargetMode="External"/><Relationship Id="rId64" Type="http://schemas.openxmlformats.org/officeDocument/2006/relationships/hyperlink" Target="https://id.hse.ru/" TargetMode="External"/><Relationship Id="rId65" Type="http://schemas.openxmlformats.org/officeDocument/2006/relationships/hyperlink" Target="https://bookshop.hse.ru/" TargetMode="External"/><Relationship Id="rId66" Type="http://schemas.openxmlformats.org/officeDocument/2006/relationships/hyperlink" Target="https://print.hse.ru/" TargetMode="External"/><Relationship Id="rId67" Type="http://schemas.openxmlformats.org/officeDocument/2006/relationships/hyperlink" Target="https://mc.hse.ru/" TargetMode="External"/><Relationship Id="rId68" Type="http://schemas.openxmlformats.org/officeDocument/2006/relationships/hyperlink" Target="https://www.hse.ru/science/journals" TargetMode="External"/><Relationship Id="rId69" Type="http://schemas.openxmlformats.org/officeDocument/2006/relationships/hyperlink" Target="http://www.minobrnauki.gov.ru/" TargetMode="External"/><Relationship Id="rId70" Type="http://schemas.openxmlformats.org/officeDocument/2006/relationships/hyperlink" Target="https://edu.gov.ru/" TargetMode="External"/><Relationship Id="rId71" Type="http://schemas.openxmlformats.org/officeDocument/2006/relationships/hyperlink" Target="http://www.edu.ru/" TargetMode="External"/><Relationship Id="rId72" Type="http://schemas.openxmlformats.org/officeDocument/2006/relationships/hyperlink" Target="https://elearning.hse.ru/mooc" TargetMode="External"/><Relationship Id="rId73" Type="http://schemas.openxmlformats.org/officeDocument/2006/relationships/hyperlink" Target="https://www.hse.ru/adm/edit/edit.html?goto=%2AL3N0dWR5c3ByYXZrYS9vdGNoP19yPTM2MjMxODgxNzc1MDgxNDg5LjYwNzYz%5E&amp;id=37321770&amp;cid=20594&amp;addon_name=default&amp;newportal=1" TargetMode="External"/><Relationship Id="rId74" Type="http://schemas.openxmlformats.org/officeDocument/2006/relationships/hyperlink" Target="https://www.hse.ru/contacts.html" TargetMode="External"/><Relationship Id="rId75" Type="http://schemas.openxmlformats.org/officeDocument/2006/relationships/hyperlink" Target="https://www.hse.ru/copyright" TargetMode="External"/><Relationship Id="rId76" Type="http://schemas.openxmlformats.org/officeDocument/2006/relationships/hyperlink" Target="https://www.hse.ru/data_protection_regulation" TargetMode="External"/><Relationship Id="rId77" Type="http://schemas.openxmlformats.org/officeDocument/2006/relationships/hyperlink" Target="https://www.hse.ru/sitemap.html" TargetMode="External"/><Relationship Id="rId78" Type="http://schemas.openxmlformats.org/officeDocument/2006/relationships/hyperlink" Target="https://design.hse.ru/" TargetMode="External"/><Relationship Id="rId7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