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Комиссия по принятию решений о переходе студентов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 платного обучения на бесплатное</w:t>
      </w:r>
    </w:p>
    <w:p>
      <w:pPr>
        <w:autoSpaceDN w:val="0"/>
        <w:autoSpaceDE w:val="0"/>
        <w:widowControl/>
        <w:spacing w:line="264" w:lineRule="auto" w:before="378" w:after="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целях соблюдения конфиденциальности информации в протоколах не публикуются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полные контактные данные студентов.</w:t>
      </w:r>
    </w:p>
    <w:p>
      <w:pPr>
        <w:autoSpaceDN w:val="0"/>
        <w:autoSpaceDE w:val="0"/>
        <w:widowControl/>
        <w:spacing w:line="257" w:lineRule="auto" w:before="262" w:after="702"/>
        <w:ind w:left="30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возникновении вопросов обратитесь, пожалуйста, к менеджеру Вашей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образовательной программы или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Центр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2025/26 учебный год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8"/>
        <w:gridCol w:w="3608"/>
        <w:gridCol w:w="3608"/>
      </w:tblGrid>
      <w:tr>
        <w:trPr>
          <w:trHeight w:hRule="exact" w:val="510"/>
        </w:trPr>
        <w:tc>
          <w:tcPr>
            <w:tcW w:type="dxa" w:w="10804"/>
            <w:gridSpan w:val="3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Приложения к Протоколу комиссии НИУ ВШЭ Москва от 27.03.2026:</w:t>
            </w:r>
          </w:p>
        </w:tc>
      </w:tr>
      <w:tr>
        <w:trPr>
          <w:trHeight w:hRule="exact" w:val="52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5819140</wp:posOffset>
                  </wp:positionV>
                  <wp:extent cx="190500" cy="17272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1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Список студентов, в отношении которых принято решение о переходе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 платного обучения на места за счет бюджетных ассигнований</w:t>
          </w:r>
        </w:hyperlink>
      </w:r>
    </w:p>
    <w:p>
      <w:pPr>
        <w:autoSpaceDN w:val="0"/>
        <w:autoSpaceDE w:val="0"/>
        <w:widowControl/>
        <w:spacing w:line="240" w:lineRule="auto" w:before="0" w:after="12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6299200</wp:posOffset>
            </wp:positionV>
            <wp:extent cx="47879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3608"/>
        <w:gridCol w:w="3608"/>
        <w:gridCol w:w="3608"/>
      </w:tblGrid>
      <w:tr>
        <w:trPr>
          <w:trHeight w:hRule="exact" w:val="448"/>
        </w:trPr>
        <w:tc>
          <w:tcPr>
            <w:tcW w:type="dxa" w:w="9920"/>
            <w:gridSpan w:val="3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федерального бюджета</w:t>
                </w:r>
              </w:hyperlink>
            </w:r>
          </w:p>
        </w:tc>
      </w:tr>
      <w:tr>
        <w:trPr>
          <w:trHeight w:hRule="exact" w:val="514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6695440</wp:posOffset>
                  </wp:positionV>
                  <wp:extent cx="190500" cy="17271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Список студентов, в отношении которых принято решение о переходе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3608"/>
        <w:gridCol w:w="3608"/>
        <w:gridCol w:w="3608"/>
      </w:tblGrid>
      <w:tr>
        <w:trPr>
          <w:trHeight w:hRule="exact" w:val="486"/>
        </w:trPr>
        <w:tc>
          <w:tcPr>
            <w:tcW w:type="dxa" w:w="9940"/>
            <w:gridSpan w:val="3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с платного обучения на места за счет средств НИУ ВШЭ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7162800</wp:posOffset>
                  </wp:positionV>
                  <wp:extent cx="41783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98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7315200</wp:posOffset>
                  </wp:positionV>
                  <wp:extent cx="190500" cy="17145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Список студентов, в отношении которых принято решение об отказе 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 xml:space="preserve">переходе с платного обучения на бесплатное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Приказ о переводе на бесплатное обучение оформляется после публикации</w:t>
            </w:r>
          </w:p>
        </w:tc>
      </w:tr>
    </w:tbl>
    <w:p>
      <w:pPr>
        <w:autoSpaceDN w:val="0"/>
        <w:autoSpaceDE w:val="0"/>
        <w:widowControl/>
        <w:spacing w:line="257" w:lineRule="auto" w:before="26" w:after="32"/>
        <w:ind w:left="828" w:right="1872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протокола в течение 10 дней. Статус приказа можно уточнить у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менеджера Вашей образовательной программы или в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1" w:history="1">
          <w:r>
            <w:rPr>
              <w:rStyle w:val="Hyperlink"/>
            </w:rPr>
            <w:t>Центре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9690100</wp:posOffset>
                  </wp:positionV>
                  <wp:extent cx="15113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222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2025/26 учебный год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2706"/>
        <w:gridCol w:w="2706"/>
        <w:gridCol w:w="2706"/>
        <w:gridCol w:w="2706"/>
      </w:tblGrid>
      <w:tr>
        <w:trPr>
          <w:trHeight w:hRule="exact" w:val="506"/>
        </w:trPr>
        <w:tc>
          <w:tcPr>
            <w:tcW w:type="dxa" w:w="9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Приложения к Протоколу комиссии НИУ ВШЭ Москва от 16.02.2026: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1695450</wp:posOffset>
                  </wp:positionV>
                  <wp:extent cx="190500" cy="17145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Список студентов, в отношении которых принято решение о переходе</w:t>
                </w:r>
              </w:hyperlink>
            </w:r>
          </w:p>
        </w:tc>
      </w:tr>
      <w:tr>
        <w:trPr>
          <w:trHeight w:hRule="exact" w:val="416"/>
        </w:trPr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с платного обучения на бесплатное</w:t>
                </w:r>
              </w:hyperlink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(приказ №6.18-04/240226-62 от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2706"/>
        <w:gridCol w:w="2706"/>
        <w:gridCol w:w="2706"/>
        <w:gridCol w:w="2706"/>
      </w:tblGrid>
      <w:tr>
        <w:trPr>
          <w:trHeight w:hRule="exact" w:val="464"/>
        </w:trPr>
        <w:tc>
          <w:tcPr>
            <w:tcW w:type="dxa" w:w="9920"/>
            <w:gridSpan w:val="4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24.02.2026)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2571750</wp:posOffset>
                  </wp:positionV>
                  <wp:extent cx="190500" cy="17145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4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Список студентов, в отношении которых принято решение о переходе</w:t>
                </w:r>
              </w:hyperlink>
            </w:r>
          </w:p>
        </w:tc>
      </w:tr>
      <w:tr>
        <w:trPr>
          <w:trHeight w:hRule="exact" w:val="408"/>
        </w:trPr>
        <w:tc>
          <w:tcPr>
            <w:tcW w:type="dxa" w:w="7040"/>
            <w:gridSpan w:val="3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с платного обучения на место за счет средств НИУ ВШЭ</w:t>
                </w:r>
              </w:hyperlink>
            </w:r>
          </w:p>
        </w:tc>
        <w:tc>
          <w:tcPr>
            <w:tcW w:type="dxa" w:w="2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(приказ №6.18-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3608"/>
        <w:gridCol w:w="3608"/>
        <w:gridCol w:w="3608"/>
      </w:tblGrid>
      <w:tr>
        <w:trPr>
          <w:trHeight w:hRule="exact" w:val="472"/>
        </w:trPr>
        <w:tc>
          <w:tcPr>
            <w:tcW w:type="dxa" w:w="9940"/>
            <w:gridSpan w:val="3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04/240226-62 от 24.02.2026)</w:t>
            </w:r>
          </w:p>
        </w:tc>
      </w:tr>
      <w:tr>
        <w:trPr>
          <w:trHeight w:hRule="exact" w:val="510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1085850</wp:posOffset>
                  </wp:positionH>
                  <wp:positionV relativeFrom="page">
                    <wp:posOffset>3439160</wp:posOffset>
                  </wp:positionV>
                  <wp:extent cx="190500" cy="17017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4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Список студентов, в отношении которых принято решение об отказе 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переходе с платного обучения на бесплатное</w:t>
          </w:r>
        </w:hyperlink>
      </w:r>
    </w:p>
    <w:p>
      <w:pPr>
        <w:autoSpaceDN w:val="0"/>
        <w:autoSpaceDE w:val="0"/>
        <w:widowControl/>
        <w:spacing w:line="264" w:lineRule="auto" w:before="260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Приказ о переводе на бесплатное обучение оформляется после публикации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протокола в течение 10 дней. Статус приказа можно уточнить у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менеджера Вашей образовательной программы или в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1" w:history="1">
          <w:r>
            <w:rPr>
              <w:rStyle w:val="Hyperlink"/>
            </w:rPr>
            <w:t>Центре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Кампусы НИУ ВШЭ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6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Протоколы решения комиссий кампусов НИУ ВШЭ публикуются по ссылкам: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71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1.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НИУ ВШЭ Санкт-Петербург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72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2.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 xml:space="preserve">НИУ ВШЭ Нижний Новгород 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65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3.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НИУ ВШЭ Пермь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5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всем вопросам, связанным с кампанией, студенты, обучающиеся в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кампусах, могут обращаться к коллегам. Контакты указаны по ссылкам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выше.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Архив протоколов комиссии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86"/>
        </w:trPr>
        <w:tc>
          <w:tcPr>
            <w:tcW w:type="dxa" w:w="78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Сотрудникам: архив доступен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по 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6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3136900</wp:posOffset>
                  </wp:positionH>
                  <wp:positionV relativeFrom="page">
                    <wp:posOffset>1536700</wp:posOffset>
                  </wp:positionV>
                  <wp:extent cx="749300" cy="254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8"/>
        </w:trPr>
        <w:tc>
          <w:tcPr>
            <w:tcW w:type="dxa" w:w="89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Студентам: для получения информации обратитесь 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Центр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4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4889500</wp:posOffset>
                  </wp:positionH>
                  <wp:positionV relativeFrom="page">
                    <wp:posOffset>1917700</wp:posOffset>
                  </wp:positionV>
                  <wp:extent cx="469900" cy="254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сервиса «Студент»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84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3403600</wp:posOffset>
            </wp:positionV>
            <wp:extent cx="508000" cy="241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3784600</wp:posOffset>
            </wp:positionV>
            <wp:extent cx="13462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4286250</wp:posOffset>
            </wp:positionV>
            <wp:extent cx="228600" cy="228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03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4" w:right="87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Лицей</w:t>
          </w:r>
        </w:hyperlink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5285740</wp:posOffset>
            </wp:positionV>
            <wp:extent cx="6877050" cy="45698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studentcentre.hse.ru/#contacts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mirror/pubs/share/1143216526.pdf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hse.ru/mirror/pubs/share/1143216555.pdf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www.hse.ru/mirror/pubs/share/1143216568.pdf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https://www.hse.ru/mirror/pubs/share/1129384594.pdf" TargetMode="External"/><Relationship Id="rId21" Type="http://schemas.openxmlformats.org/officeDocument/2006/relationships/hyperlink" Target="https://www.hse.ru/mirror/pubs/share/1129384616.pdf" TargetMode="External"/><Relationship Id="rId22" Type="http://schemas.openxmlformats.org/officeDocument/2006/relationships/hyperlink" Target="https://www.hse.ru/mirror/pubs/share/1129384695.pdf" TargetMode="External"/><Relationship Id="rId23" Type="http://schemas.openxmlformats.org/officeDocument/2006/relationships/hyperlink" Target="https://spb.hse.ru/aup/oep/perbud" TargetMode="External"/><Relationship Id="rId24" Type="http://schemas.openxmlformats.org/officeDocument/2006/relationships/hyperlink" Target="https://nnov.hse.ru/uch/perevod" TargetMode="External"/><Relationship Id="rId25" Type="http://schemas.openxmlformats.org/officeDocument/2006/relationships/hyperlink" Target="https://perm.hse.ru/educational_methodical" TargetMode="External"/><Relationship Id="rId26" Type="http://schemas.openxmlformats.org/officeDocument/2006/relationships/hyperlink" Target="https://www.hse.ru/studyspravka/arhivprot" TargetMode="External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hyperlink" Target="https://www.hse.ru/org/hse/info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www.hse.ru/orgstructure/" TargetMode="External"/><Relationship Id="rId35" Type="http://schemas.openxmlformats.org/officeDocument/2006/relationships/hyperlink" Target="https://sustainability.hse.ru/" TargetMode="External"/><Relationship Id="rId36" Type="http://schemas.openxmlformats.org/officeDocument/2006/relationships/hyperlink" Target="https://www.hse.ru/org/persons/" TargetMode="External"/><Relationship Id="rId37" Type="http://schemas.openxmlformats.org/officeDocument/2006/relationships/hyperlink" Target="https://www.hse.ru/buildinghse" TargetMode="External"/><Relationship Id="rId38" Type="http://schemas.openxmlformats.org/officeDocument/2006/relationships/hyperlink" Target="https://www.hse.ru/org/hse/aup/procurement/" TargetMode="External"/><Relationship Id="rId39" Type="http://schemas.openxmlformats.org/officeDocument/2006/relationships/hyperlink" Target="https://www.hse.ru/appeal/" TargetMode="External"/><Relationship Id="rId40" Type="http://schemas.openxmlformats.org/officeDocument/2006/relationships/hyperlink" Target="https://endowment.hse.ru/" TargetMode="External"/><Relationship Id="rId41" Type="http://schemas.openxmlformats.org/officeDocument/2006/relationships/hyperlink" Target="https://www.hse.ru/anticorruption" TargetMode="External"/><Relationship Id="rId42" Type="http://schemas.openxmlformats.org/officeDocument/2006/relationships/hyperlink" Target="https://www.hse.ru/anticorruption/information" TargetMode="External"/><Relationship Id="rId43" Type="http://schemas.openxmlformats.org/officeDocument/2006/relationships/hyperlink" Target="https://www.hse.ru/sveden/" TargetMode="External"/><Relationship Id="rId44" Type="http://schemas.openxmlformats.org/officeDocument/2006/relationships/hyperlink" Target="https://inclusive.hse.ru/" TargetMode="External"/><Relationship Id="rId45" Type="http://schemas.openxmlformats.org/officeDocument/2006/relationships/hyperlink" Target="https://pay.hse.ru/" TargetMode="External"/><Relationship Id="rId46" Type="http://schemas.openxmlformats.org/officeDocument/2006/relationships/hyperlink" Target="https://www.hse.ru/career" TargetMode="External"/><Relationship Id="rId47" Type="http://schemas.openxmlformats.org/officeDocument/2006/relationships/hyperlink" Target="https://www.hse.ru/education/" TargetMode="External"/><Relationship Id="rId48" Type="http://schemas.openxmlformats.org/officeDocument/2006/relationships/hyperlink" Target="https://school.hse.ru/" TargetMode="External"/><Relationship Id="rId49" Type="http://schemas.openxmlformats.org/officeDocument/2006/relationships/hyperlink" Target="https://fdp.hse.ru/" TargetMode="External"/><Relationship Id="rId50" Type="http://schemas.openxmlformats.org/officeDocument/2006/relationships/hyperlink" Target="https://olymp.hse.ru/" TargetMode="External"/><Relationship Id="rId51" Type="http://schemas.openxmlformats.org/officeDocument/2006/relationships/hyperlink" Target="https://ba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hyperlink" Target="http://www.minobrnauki.gov.ru/" TargetMode="External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wZXJidWQtcHJvdG9rb2w%2FX3I9MzYyNDE3NTE3NzUwODI1MTQuMTM3MDU%3D%5E&amp;id=166901715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