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543560</wp:posOffset>
            </wp:positionH>
            <wp:positionV relativeFrom="page">
              <wp:posOffset>2866390</wp:posOffset>
            </wp:positionV>
            <wp:extent cx="6485890" cy="689225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85890" cy="68922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342900</wp:posOffset>
            </wp:positionH>
            <wp:positionV relativeFrom="page">
              <wp:posOffset>419100</wp:posOffset>
            </wp:positionV>
            <wp:extent cx="6870700" cy="124460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870700" cy="1244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9966" w:val="left"/>
        </w:tabs>
        <w:autoSpaceDE w:val="0"/>
        <w:widowControl/>
        <w:spacing w:line="240" w:lineRule="auto" w:before="198" w:after="0"/>
        <w:ind w:left="678" w:right="0" w:firstLine="0"/>
        <w:jc w:val="left"/>
      </w:pPr>
      <w:r>
        <w:rPr>
          <w:w w:val="102.00000762939455"/>
          <w:rFonts w:ascii="Segoe UI" w:hAnsi="Segoe UI" w:eastAsia="Segoe UI"/>
          <w:b w:val="0"/>
          <w:i w:val="0"/>
          <w:color w:val="FFFFFF"/>
          <w:sz w:val="20"/>
        </w:rPr>
        <w:hyperlink r:id="rId9" w:history="1">
          <w:r>
            <w:rPr>
              <w:rStyle w:val="Hyperlink"/>
            </w:rPr>
            <w:t>Высшая школа экономики</w:t>
          </w:r>
        </w:hyperlink>
      </w:r>
      <w:r>
        <w:tab/>
      </w:r>
      <w:r>
        <w:rPr>
          <w:rFonts w:ascii="Segoe UI" w:hAnsi="Segoe UI" w:eastAsia="Segoe UI"/>
          <w:b w:val="0"/>
          <w:i w:val="0"/>
          <w:color w:val="FFFFFF"/>
          <w:sz w:val="18"/>
        </w:rPr>
        <w:t>Меню</w:t>
      </w:r>
    </w:p>
    <w:p>
      <w:pPr>
        <w:autoSpaceDN w:val="0"/>
        <w:autoSpaceDE w:val="0"/>
        <w:widowControl/>
        <w:spacing w:line="240" w:lineRule="auto" w:before="162" w:after="0"/>
        <w:ind w:left="0" w:right="0" w:firstLine="0"/>
        <w:jc w:val="center"/>
      </w:pPr>
      <w:r>
        <w:rPr>
          <w:rFonts w:ascii="Segoe UI Semibold" w:hAnsi="Segoe UI Semibold" w:eastAsia="Segoe UI Semibold"/>
          <w:b/>
          <w:i w:val="0"/>
          <w:color w:val="FFFFFF"/>
          <w:sz w:val="48"/>
        </w:rPr>
        <w:hyperlink r:id="rId10" w:history="1">
          <w:r>
            <w:rPr>
              <w:rStyle w:val="Hyperlink"/>
            </w:rPr>
            <w:t>Справочник учебного процесса НИУ ВШЭ</w:t>
          </w:r>
        </w:hyperlink>
      </w:r>
    </w:p>
    <w:p>
      <w:pPr>
        <w:autoSpaceDN w:val="0"/>
        <w:autoSpaceDE w:val="0"/>
        <w:widowControl/>
        <w:spacing w:line="245" w:lineRule="auto" w:before="1446" w:after="534"/>
        <w:ind w:left="304" w:right="288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8"/>
        </w:rPr>
        <w:t>Перевод с платного обучения на бесплатное НИУ ВШЭ-</w:t>
      </w:r>
      <w:r>
        <w:rPr>
          <w:rFonts w:ascii="Segoe UI Semibold" w:hAnsi="Segoe UI Semibold" w:eastAsia="Segoe UI Semibold"/>
          <w:b/>
          <w:i w:val="0"/>
          <w:color w:val="000000"/>
          <w:sz w:val="38"/>
        </w:rPr>
        <w:t>Москва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3.9999999999999" w:type="dxa"/>
      </w:tblPr>
      <w:tblGrid>
        <w:gridCol w:w="3608"/>
        <w:gridCol w:w="3608"/>
        <w:gridCol w:w="3608"/>
      </w:tblGrid>
      <w:tr>
        <w:trPr>
          <w:trHeight w:hRule="exact" w:val="352"/>
        </w:trPr>
        <w:tc>
          <w:tcPr>
            <w:tcW w:type="dxa" w:w="2174"/>
            <w:tcBorders>
              <w:bottom w:sz="5.599999999999909" w:val="single" w:color="#000000"/>
            </w:tcBorders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2174"/>
            </w:tblGrid>
            <w:tr>
              <w:trPr>
                <w:trHeight w:hRule="exact" w:val="326"/>
              </w:trPr>
              <w:tc>
                <w:tcPr>
                  <w:tcW w:type="dxa" w:w="2174"/>
                  <w:tcBorders/>
                  <w:shd w:fill="d34ea3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52" w:after="0"/>
                    <w:ind w:left="0" w:right="0" w:firstLine="0"/>
                    <w:jc w:val="center"/>
                  </w:pPr>
                  <w:r>
                    <w:rPr>
                      <w:w w:val="98.52272380482067"/>
                      <w:rFonts w:ascii="Segoe UI Semibold" w:hAnsi="Segoe UI Semibold" w:eastAsia="Segoe UI Semibold"/>
                      <w:b/>
                      <w:i w:val="0"/>
                      <w:color w:val="FFFFFF"/>
                      <w:sz w:val="22"/>
                    </w:rPr>
                    <w:t>НИУ ВШЭ-Москва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310"/>
            <w:tcBorders>
              <w:bottom w:sz="5.599999999999909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2" w:after="0"/>
              <w:ind w:left="222" w:right="0" w:firstLine="0"/>
              <w:jc w:val="left"/>
            </w:pPr>
            <w:r>
              <w:rPr>
                <w:w w:val="98.52272380482067"/>
                <w:rFonts w:ascii="Segoe UI Semibold" w:hAnsi="Segoe UI Semibold" w:eastAsia="Segoe UI Semibold"/>
                <w:b/>
                <w:i w:val="0"/>
                <w:color w:val="000000"/>
                <w:sz w:val="22"/>
              </w:rPr>
              <w:hyperlink r:id="rId11" w:history="1">
                <w:r>
                  <w:rPr>
                    <w:rStyle w:val="Hyperlink"/>
                  </w:rPr>
                  <w:t>НИУ ВШЭ-Нижний Новгород</w:t>
                </w:r>
              </w:hyperlink>
            </w:r>
          </w:p>
        </w:tc>
        <w:tc>
          <w:tcPr>
            <w:tcW w:type="dxa" w:w="3980"/>
            <w:tcBorders>
              <w:bottom w:sz="5.599999999999909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2" w:after="0"/>
              <w:ind w:left="120" w:right="0" w:firstLine="0"/>
              <w:jc w:val="left"/>
            </w:pPr>
            <w:r>
              <w:rPr>
                <w:w w:val="98.52272380482067"/>
                <w:rFonts w:ascii="Segoe UI Semibold" w:hAnsi="Segoe UI Semibold" w:eastAsia="Segoe UI Semibold"/>
                <w:b/>
                <w:i w:val="0"/>
                <w:color w:val="000000"/>
                <w:sz w:val="22"/>
              </w:rPr>
              <w:hyperlink r:id="rId12" w:history="1">
                <w:r>
                  <w:rPr>
                    <w:rStyle w:val="Hyperlink"/>
                  </w:rPr>
                  <w:t>НИУ ВШЭ-Санкт-Петербург</w:t>
                </w:r>
              </w:hyperlink>
            </w:r>
          </w:p>
        </w:tc>
      </w:tr>
      <w:tr>
        <w:trPr>
          <w:trHeight w:hRule="exact" w:val="54"/>
        </w:trPr>
        <w:tc>
          <w:tcPr>
            <w:tcW w:type="dxa" w:w="2174"/>
            <w:tcBorders>
              <w:top w:sz="5.599999999999909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3310"/>
            <w:tcBorders>
              <w:top w:sz="5.599999999999909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3980"/>
            <w:tcBorders>
              <w:top w:sz="5.599999999999909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3.9999999999999" w:type="dxa"/>
      </w:tblPr>
      <w:tblGrid>
        <w:gridCol w:w="10824"/>
      </w:tblGrid>
      <w:tr>
        <w:trPr>
          <w:trHeight w:hRule="exact" w:val="930"/>
        </w:trPr>
        <w:tc>
          <w:tcPr>
            <w:tcW w:type="dxa" w:w="1021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64" w:after="0"/>
              <w:ind w:left="300" w:right="0" w:firstLine="0"/>
              <w:jc w:val="left"/>
            </w:pP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FFFFFF"/>
                <w:sz w:val="31"/>
              </w:rPr>
              <w:hyperlink r:id="rId13" w:history="1">
                <w:r>
                  <w:rPr>
                    <w:rStyle w:val="Hyperlink"/>
                  </w:rPr>
                  <w:t>Перевод по общим основаниям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11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3.9999999999999" w:type="dxa"/>
      </w:tblPr>
      <w:tblGrid>
        <w:gridCol w:w="10824"/>
      </w:tblGrid>
      <w:tr>
        <w:trPr>
          <w:trHeight w:hRule="exact" w:val="384"/>
        </w:trPr>
        <w:tc>
          <w:tcPr>
            <w:tcW w:type="dxa" w:w="10214"/>
            <w:tcBorders/>
            <w:shd w:fill="00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300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FFFFFF"/>
                <w:sz w:val="20"/>
              </w:rPr>
              <w:hyperlink r:id="rId13" w:history="1">
                <w:r>
                  <w:rPr>
                    <w:rStyle w:val="Hyperlink"/>
                  </w:rPr>
                  <w:t>Основная информация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2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88.0" w:type="dxa"/>
      </w:tblPr>
      <w:tblGrid>
        <w:gridCol w:w="10824"/>
      </w:tblGrid>
      <w:tr>
        <w:trPr>
          <w:trHeight w:hRule="exact" w:val="384"/>
        </w:trPr>
        <w:tc>
          <w:tcPr>
            <w:tcW w:type="dxa" w:w="7460"/>
            <w:tcBorders/>
            <w:shd w:fill="00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316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FFFFFF"/>
                <w:sz w:val="20"/>
              </w:rPr>
              <w:hyperlink r:id="rId14" w:history="1">
                <w:r>
                  <w:rPr>
                    <w:rStyle w:val="Hyperlink"/>
                  </w:rPr>
                  <w:t>Протоколы общеуниверситетской комиссии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88.0" w:type="dxa"/>
      </w:tblPr>
      <w:tblGrid>
        <w:gridCol w:w="10824"/>
      </w:tblGrid>
      <w:tr>
        <w:trPr>
          <w:trHeight w:hRule="exact" w:val="384"/>
        </w:trPr>
        <w:tc>
          <w:tcPr>
            <w:tcW w:type="dxa" w:w="68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316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FFFFFF"/>
                <w:sz w:val="20"/>
              </w:rPr>
              <w:hyperlink r:id="rId15" w:history="1">
                <w:r>
                  <w:rPr>
                    <w:rStyle w:val="Hyperlink"/>
                  </w:rPr>
                  <w:t>Регламентирующие документы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199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3.9999999999999" w:type="dxa"/>
      </w:tblPr>
      <w:tblGrid>
        <w:gridCol w:w="10824"/>
      </w:tblGrid>
      <w:tr>
        <w:trPr>
          <w:trHeight w:hRule="exact" w:val="1142"/>
        </w:trPr>
        <w:tc>
          <w:tcPr>
            <w:tcW w:type="dxa" w:w="1021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6" w:after="0"/>
              <w:ind w:left="300" w:right="1008" w:firstLine="0"/>
              <w:jc w:val="left"/>
            </w:pP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FFFFFF"/>
                <w:sz w:val="31"/>
              </w:rPr>
              <w:hyperlink r:id="rId16" w:history="1">
                <w:r>
                  <w:rPr>
                    <w:rStyle w:val="Hyperlink"/>
                  </w:rPr>
                  <w:t>Перевод по льготным о</w:t>
                </w:r>
              </w:hyperlink>
            </w: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FFFFFF"/>
                <w:sz w:val="31"/>
              </w:rPr>
              <w:hyperlink r:id="rId16" w:history="1">
                <w:r>
                  <w:rPr>
                    <w:rStyle w:val="Hyperlink"/>
                  </w:rPr>
                  <w:t>снованиям (участники СВО, их дети и</w:t>
                </w:r>
              </w:hyperlink>
            </w: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FFFFFF"/>
                <w:sz w:val="31"/>
              </w:rPr>
              <w:hyperlink r:id="rId16" w:history="1">
                <w:r>
                  <w:rPr>
                    <w:rStyle w:val="Hyperlink"/>
                  </w:rPr>
                  <w:t>близкие родственники)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3.9999999999999" w:type="dxa"/>
      </w:tblPr>
      <w:tblGrid>
        <w:gridCol w:w="10824"/>
      </w:tblGrid>
      <w:tr>
        <w:trPr>
          <w:trHeight w:hRule="exact" w:val="384"/>
        </w:trPr>
        <w:tc>
          <w:tcPr>
            <w:tcW w:type="dxa" w:w="10214"/>
            <w:tcBorders/>
            <w:shd w:fill="00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300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FFFFFF"/>
                <w:sz w:val="20"/>
              </w:rPr>
              <w:hyperlink r:id="rId16" w:history="1">
                <w:r>
                  <w:rPr>
                    <w:rStyle w:val="Hyperlink"/>
                  </w:rPr>
                  <w:t>Основная информация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88.0" w:type="dxa"/>
      </w:tblPr>
      <w:tblGrid>
        <w:gridCol w:w="10824"/>
      </w:tblGrid>
      <w:tr>
        <w:trPr>
          <w:trHeight w:hRule="exact" w:val="384"/>
        </w:trPr>
        <w:tc>
          <w:tcPr>
            <w:tcW w:type="dxa" w:w="6320"/>
            <w:tcBorders/>
            <w:shd w:fill="00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316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FFFFFF"/>
                <w:sz w:val="20"/>
              </w:rPr>
              <w:hyperlink r:id="rId17" w:history="1">
                <w:r>
                  <w:rPr>
                    <w:rStyle w:val="Hyperlink"/>
                  </w:rPr>
                  <w:t>Критерии перевода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88.0" w:type="dxa"/>
      </w:tblPr>
      <w:tblGrid>
        <w:gridCol w:w="10824"/>
      </w:tblGrid>
      <w:tr>
        <w:trPr>
          <w:trHeight w:hRule="exact" w:val="384"/>
        </w:trPr>
        <w:tc>
          <w:tcPr>
            <w:tcW w:type="dxa" w:w="63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316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FFFFFF"/>
                <w:sz w:val="20"/>
              </w:rPr>
              <w:hyperlink r:id="rId18" w:history="1">
                <w:r>
                  <w:rPr>
                    <w:rStyle w:val="Hyperlink"/>
                  </w:rPr>
                  <w:t>Процедура перевода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240" w:lineRule="auto" w:before="1798" w:after="156"/>
        <w:ind w:left="304" w:right="0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3"/>
        </w:rPr>
        <w:t>Перевод на бесплатное обучение по общим основаниям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824"/>
      </w:tblGrid>
      <w:tr>
        <w:trPr>
          <w:trHeight w:hRule="exact" w:val="2320"/>
        </w:trPr>
        <w:tc>
          <w:tcPr>
            <w:tcW w:type="dxa" w:w="10804"/>
            <w:tcBorders/>
            <w:shd w:fill="000095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03.9999999999999" w:type="dxa"/>
            </w:tblPr>
            <w:tblGrid>
              <w:gridCol w:w="10804"/>
            </w:tblGrid>
            <w:tr>
              <w:trPr>
                <w:trHeight w:hRule="exact" w:val="1780"/>
              </w:trPr>
              <w:tc>
                <w:tcPr>
                  <w:tcW w:type="dxa" w:w="10200"/>
                  <w:tcBorders/>
                  <w:shd w:fill="efefe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704" w:after="0"/>
                    <w:ind w:left="524" w:right="0" w:firstLine="0"/>
                    <w:jc w:val="left"/>
                  </w:pPr>
                  <w:r>
                    <w:rPr>
                      <w:rFonts w:ascii="Segoe UI Semibold" w:hAnsi="Segoe UI Semibold" w:eastAsia="Segoe UI Semibold"/>
                      <w:b/>
                      <w:i w:val="0"/>
                      <w:color w:val="000000"/>
                      <w:sz w:val="38"/>
                    </w:rPr>
                    <w:t>Основные критерии перехода на бюджет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8" w:h="16858"/>
          <w:pgMar w:top="438" w:right="542" w:bottom="66" w:left="5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76" w:lineRule="auto" w:before="700" w:after="0"/>
        <w:ind w:left="828" w:right="1008" w:firstLine="0"/>
        <w:jc w:val="left"/>
      </w:pPr>
      <w:r>
        <w:rPr>
          <w:shd w:val="clear" w:color="auto" w:fill="000095"/>
          <w:w w:val="98.07692307692307"/>
          <w:rFonts w:ascii="Segoe UI" w:hAnsi="Segoe UI" w:eastAsia="Segoe UI"/>
          <w:b w:val="0"/>
          <w:i w:val="0"/>
          <w:color w:val="000000"/>
          <w:sz w:val="26"/>
        </w:rPr>
        <w:t>Порядок и критерии перевода студента с платного обучения на бесплатное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установлены приказом Минобрнауки РФ от 28.08.2023 № 822 «</w:t>
      </w:r>
      <w:r>
        <w:rPr>
          <w:u w:val="single" w:color="0079c4"/>
          <w:shd w:val="clear" w:color="auto" w:fill="000095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1" w:history="1">
          <w:r>
            <w:rPr>
              <w:rStyle w:val="Hyperlink"/>
            </w:rPr>
            <w:t>Об</w:t>
          </w:r>
        </w:hyperlink>
      </w:r>
      <w:r>
        <w:br/>
      </w:r>
      <w:r>
        <w:rPr>
          <w:u w:val="single" w:color="0079c4"/>
          <w:shd w:val="clear" w:color="auto" w:fill="000095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1" w:history="1">
          <w:r>
            <w:rPr>
              <w:rStyle w:val="Hyperlink"/>
            </w:rPr>
            <w:t>утверждении порядка и случаев перехода лиц, обучающихся по</w:t>
          </w:r>
        </w:hyperlink>
      </w:r>
      <w:r>
        <w:br/>
      </w:r>
      <w:r>
        <w:rPr>
          <w:shd w:val="clear" w:color="auto" w:fill="000095"/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1" w:history="1">
          <w:r>
            <w:rPr>
              <w:rStyle w:val="Hyperlink"/>
            </w:rPr>
            <w:t>образовательным программам среднего профессионального и высшего</w:t>
          </w:r>
        </w:hyperlink>
      </w:r>
      <w:r>
        <w:rPr>
          <w:shd w:val="clear" w:color="auto" w:fill="000095"/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1" w:history="1">
          <w:r>
            <w:rPr>
              <w:rStyle w:val="Hyperlink"/>
            </w:rPr>
            <w:t>образования, с платного обучения на обучение за счет средств бюджетных</w:t>
          </w:r>
        </w:hyperlink>
      </w:r>
      <w:r>
        <w:rPr>
          <w:shd w:val="clear" w:color="auto" w:fill="000095"/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1" w:history="1">
          <w:r>
            <w:rPr>
              <w:rStyle w:val="Hyperlink"/>
            </w:rPr>
            <w:t>ассигнований федерального бюджета, бюджетов субъектов Российской</w:t>
          </w:r>
        </w:hyperlink>
      </w:r>
      <w:r>
        <w:rPr>
          <w:shd w:val="clear" w:color="auto" w:fill="000095"/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1" w:history="1">
          <w:r>
            <w:rPr>
              <w:rStyle w:val="Hyperlink"/>
            </w:rPr>
            <w:t>Федерации и местных бюджетов либо за счет собственных средств</w:t>
          </w:r>
        </w:hyperlink>
      </w:r>
      <w:r>
        <w:br/>
      </w:r>
      <w:r>
        <w:rPr>
          <w:shd w:val="clear" w:color="auto" w:fill="000095"/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1" w:history="1">
          <w:r>
            <w:rPr>
              <w:rStyle w:val="Hyperlink"/>
            </w:rPr>
            <w:t>организации, осуществляющей образовательную деятельность, в том числе</w:t>
          </w:r>
        </w:hyperlink>
      </w:r>
      <w:r>
        <w:rPr>
          <w:shd w:val="clear" w:color="auto" w:fill="000095"/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1" w:history="1">
          <w:r>
            <w:rPr>
              <w:rStyle w:val="Hyperlink"/>
            </w:rPr>
            <w:t>средств, полученных от приносящей доход деятельности, добровольных</w:t>
          </w:r>
        </w:hyperlink>
      </w:r>
      <w:r>
        <w:rPr>
          <w:shd w:val="clear" w:color="auto" w:fill="000095"/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1" w:history="1">
          <w:r>
            <w:rPr>
              <w:rStyle w:val="Hyperlink"/>
            </w:rPr>
            <w:t>пожертвований и целевых взносов физических и (или) юридических лиц</w:t>
          </w:r>
        </w:hyperlink>
      </w:r>
      <w:r>
        <w:rPr>
          <w:shd w:val="clear" w:color="auto" w:fill="000095"/>
          <w:w w:val="98.07692307692307"/>
          <w:rFonts w:ascii="Segoe UI" w:hAnsi="Segoe UI" w:eastAsia="Segoe UI"/>
          <w:b w:val="0"/>
          <w:i w:val="0"/>
          <w:color w:val="000000"/>
          <w:sz w:val="26"/>
        </w:rPr>
        <w:t>»</w:t>
      </w:r>
    </w:p>
    <w:p>
      <w:pPr>
        <w:autoSpaceDN w:val="0"/>
        <w:autoSpaceDE w:val="0"/>
        <w:widowControl/>
        <w:spacing w:line="266" w:lineRule="auto" w:before="260" w:after="0"/>
        <w:ind w:left="828" w:right="1584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В соответствии с Порядком студент может претендовать на переход на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бесплатное обучение (при наличии вакантного бюджетного места на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образовательной программе) при соблюдении условий:</w:t>
      </w:r>
    </w:p>
    <w:p>
      <w:pPr>
        <w:autoSpaceDN w:val="0"/>
        <w:autoSpaceDE w:val="0"/>
        <w:widowControl/>
        <w:spacing w:line="240" w:lineRule="auto" w:before="262" w:after="0"/>
        <w:ind w:left="1414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1.  </w:t>
      </w: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На момент подачи заявления не имеет:</w:t>
      </w:r>
    </w:p>
    <w:p>
      <w:pPr>
        <w:autoSpaceDN w:val="0"/>
        <w:autoSpaceDE w:val="0"/>
        <w:widowControl/>
        <w:spacing w:line="257" w:lineRule="auto" w:before="262" w:after="26"/>
        <w:ind w:left="1296" w:right="1296" w:firstLine="0"/>
        <w:jc w:val="center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— 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академических задолженностей и не обучается в связи с этим по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2" w:history="1">
          <w:r>
            <w:rPr>
              <w:rStyle w:val="Hyperlink"/>
            </w:rPr>
            <w:t>индивидуальному учебному плану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специального типа с повторным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412"/>
        <w:gridCol w:w="5412"/>
      </w:tblGrid>
      <w:tr>
        <w:trPr>
          <w:trHeight w:hRule="exact" w:val="476"/>
        </w:trPr>
        <w:tc>
          <w:tcPr>
            <w:tcW w:type="dxa" w:w="10804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142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изучением ряда дисциплин,</w:t>
            </w:r>
          </w:p>
        </w:tc>
      </w:tr>
      <w:tr>
        <w:trPr>
          <w:trHeight w:hRule="exact" w:val="580"/>
        </w:trPr>
        <w:tc>
          <w:tcPr>
            <w:tcW w:type="dxa" w:w="174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0" w:right="0" w:firstLine="0"/>
              <w:jc w:val="righ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— </w:t>
            </w:r>
          </w:p>
        </w:tc>
        <w:tc>
          <w:tcPr>
            <w:tcW w:type="dxa" w:w="90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6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дисциплинарных взысканий,</w:t>
            </w:r>
          </w:p>
        </w:tc>
      </w:tr>
      <w:tr>
        <w:trPr>
          <w:trHeight w:hRule="exact" w:val="538"/>
        </w:trPr>
        <w:tc>
          <w:tcPr>
            <w:tcW w:type="dxa" w:w="174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0" w:after="0"/>
              <w:ind w:left="0" w:right="0" w:firstLine="0"/>
              <w:jc w:val="righ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— </w:t>
            </w:r>
          </w:p>
        </w:tc>
        <w:tc>
          <w:tcPr>
            <w:tcW w:type="dxa" w:w="90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0" w:after="0"/>
              <w:ind w:left="6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задолженности по </w:t>
            </w: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23" w:history="1">
                <w:r>
                  <w:rPr>
                    <w:rStyle w:val="Hyperlink"/>
                  </w:rPr>
                  <w:t>оплате обучения</w:t>
                </w:r>
              </w:hyperlink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240" w:lineRule="auto" w:before="202" w:after="0"/>
        <w:ind w:left="1108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2.</w:t>
      </w: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 xml:space="preserve"> И соответствует одному из следующих условий:</w:t>
      </w:r>
    </w:p>
    <w:p>
      <w:pPr>
        <w:autoSpaceDN w:val="0"/>
        <w:tabs>
          <w:tab w:pos="1806" w:val="left"/>
          <w:tab w:pos="5852" w:val="left"/>
        </w:tabs>
        <w:autoSpaceDE w:val="0"/>
        <w:widowControl/>
        <w:spacing w:line="274" w:lineRule="auto" w:before="214" w:after="0"/>
        <w:ind w:left="828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а) Сдача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экзаменов за последний семестр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обучения, </w:t>
      </w:r>
      <w:r>
        <w:rPr>
          <w:w w:val="98.52272380482067"/>
          <w:rFonts w:ascii="Segoe UI" w:hAnsi="Segoe UI" w:eastAsia="Segoe UI"/>
          <w:b w:val="0"/>
          <w:i w:val="0"/>
          <w:color w:val="000000"/>
          <w:sz w:val="22"/>
        </w:rPr>
        <w:t xml:space="preserve">* </w:t>
      </w:r>
      <w:r>
        <w:tab/>
      </w:r>
      <w:r>
        <w:rPr>
          <w:w w:val="98.52272380482067"/>
          <w:rFonts w:ascii="Segoe UI" w:hAnsi="Segoe UI" w:eastAsia="Segoe UI"/>
          <w:b w:val="0"/>
          <w:i w:val="0"/>
          <w:color w:val="000000"/>
          <w:sz w:val="22"/>
        </w:rPr>
        <w:t>**</w:t>
      </w:r>
    </w:p>
    <w:p>
      <w:pPr>
        <w:autoSpaceDN w:val="0"/>
        <w:autoSpaceDE w:val="0"/>
        <w:widowControl/>
        <w:spacing w:line="259" w:lineRule="auto" w:before="66" w:after="0"/>
        <w:ind w:left="828" w:right="1008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предшествующий подаче заявления, на оценки «отлично» или «отлично» и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«хорошо» или «хорошо»;</w:t>
      </w:r>
    </w:p>
    <w:p>
      <w:pPr>
        <w:autoSpaceDN w:val="0"/>
        <w:autoSpaceDE w:val="0"/>
        <w:widowControl/>
        <w:spacing w:line="240" w:lineRule="auto" w:before="260" w:after="0"/>
        <w:ind w:left="828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б) Отнесение к следующему числу лиц:</w:t>
      </w:r>
    </w:p>
    <w:p>
      <w:pPr>
        <w:autoSpaceDN w:val="0"/>
        <w:autoSpaceDE w:val="0"/>
        <w:widowControl/>
        <w:spacing w:line="259" w:lineRule="auto" w:before="260" w:after="0"/>
        <w:ind w:left="1428" w:right="864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— 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детей-сирот, оставшихся без попечения родителей, а также лицам из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числа детей-сирот и детей, оставшихся без попечения родителей;</w:t>
      </w:r>
    </w:p>
    <w:p>
      <w:pPr>
        <w:autoSpaceDN w:val="0"/>
        <w:autoSpaceDE w:val="0"/>
        <w:widowControl/>
        <w:spacing w:line="266" w:lineRule="auto" w:before="246" w:after="26"/>
        <w:ind w:left="1428" w:right="864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— 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граждан в возрасте до двадцати лет, имеющих только одного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родителя — инвалида I группы, если среднедушевой доход семьи ниже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величины прожиточного минимума, установленного в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412"/>
        <w:gridCol w:w="5412"/>
      </w:tblGrid>
      <w:tr>
        <w:trPr>
          <w:trHeight w:hRule="exact" w:val="470"/>
        </w:trPr>
        <w:tc>
          <w:tcPr>
            <w:tcW w:type="dxa" w:w="10804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142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соответствующем субъекте Российской Федерации;</w:t>
            </w:r>
          </w:p>
        </w:tc>
      </w:tr>
      <w:tr>
        <w:trPr>
          <w:trHeight w:hRule="exact" w:val="600"/>
        </w:trPr>
        <w:tc>
          <w:tcPr>
            <w:tcW w:type="dxa" w:w="174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0" w:after="0"/>
              <w:ind w:left="0" w:right="0" w:firstLine="0"/>
              <w:jc w:val="righ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— </w:t>
            </w:r>
          </w:p>
        </w:tc>
        <w:tc>
          <w:tcPr>
            <w:tcW w:type="dxa" w:w="90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0" w:after="0"/>
              <w:ind w:left="6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женщин, родивших ребенка в период обучения; </w:t>
            </w:r>
          </w:p>
        </w:tc>
      </w:tr>
      <w:tr>
        <w:trPr>
          <w:trHeight w:hRule="exact" w:val="504"/>
        </w:trPr>
        <w:tc>
          <w:tcPr>
            <w:tcW w:type="dxa" w:w="174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0" w:after="0"/>
              <w:ind w:left="0" w:right="0" w:firstLine="0"/>
              <w:jc w:val="righ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— </w:t>
            </w:r>
          </w:p>
        </w:tc>
        <w:tc>
          <w:tcPr>
            <w:tcW w:type="dxa" w:w="90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0" w:after="0"/>
              <w:ind w:left="6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детей лиц, принимающих или принимавших участие в специальной</w:t>
            </w:r>
          </w:p>
        </w:tc>
      </w:tr>
    </w:tbl>
    <w:p>
      <w:pPr>
        <w:autoSpaceDN w:val="0"/>
        <w:autoSpaceDE w:val="0"/>
        <w:widowControl/>
        <w:spacing w:line="240" w:lineRule="auto" w:before="26" w:after="0"/>
        <w:ind w:left="1428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военной операции на территориях Украины, Донецкой Народной</w:t>
      </w:r>
    </w:p>
    <w:p>
      <w:pPr>
        <w:sectPr>
          <w:pgSz w:w="11918" w:h="16858"/>
          <w:pgMar w:top="0" w:right="542" w:bottom="66" w:left="5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57" w:lineRule="auto" w:before="700" w:after="0"/>
        <w:ind w:left="1428" w:right="1008" w:firstLine="0"/>
        <w:jc w:val="left"/>
      </w:pPr>
      <w:r>
        <w:rPr>
          <w:shd w:val="clear" w:color="auto" w:fill="000095"/>
          <w:shd w:val="clear" w:color="auto" w:fill="efefef"/>
          <w:w w:val="98.07692307692307"/>
          <w:rFonts w:ascii="Segoe UI" w:hAnsi="Segoe UI" w:eastAsia="Segoe UI"/>
          <w:b w:val="0"/>
          <w:i w:val="0"/>
          <w:color w:val="000000"/>
          <w:sz w:val="26"/>
        </w:rPr>
        <w:t>Республики, Луганской Народной Республики, Запорожской области и</w:t>
      </w:r>
      <w:r>
        <w:rPr>
          <w:shd w:val="clear" w:color="auto" w:fill="000095"/>
          <w:shd w:val="clear" w:color="auto" w:fill="efefef"/>
          <w:w w:val="98.07692307692307"/>
          <w:rFonts w:ascii="Segoe UI" w:hAnsi="Segoe UI" w:eastAsia="Segoe UI"/>
          <w:b w:val="0"/>
          <w:i w:val="0"/>
          <w:color w:val="000000"/>
          <w:sz w:val="26"/>
        </w:rPr>
        <w:t>Херсонской области (далее - специальная военная операция).</w:t>
      </w:r>
    </w:p>
    <w:p>
      <w:pPr>
        <w:autoSpaceDN w:val="0"/>
        <w:autoSpaceDE w:val="0"/>
        <w:widowControl/>
        <w:spacing w:line="240" w:lineRule="auto" w:before="262" w:after="34"/>
        <w:ind w:left="828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в) Утрата в период обучения одного или обоих родителей (законных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3.9999999999999" w:type="dxa"/>
      </w:tblPr>
      <w:tblGrid>
        <w:gridCol w:w="10824"/>
      </w:tblGrid>
      <w:tr>
        <w:trPr>
          <w:trHeight w:hRule="exact" w:val="1632"/>
        </w:trPr>
        <w:tc>
          <w:tcPr>
            <w:tcW w:type="dxa" w:w="10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2" w:lineRule="auto" w:before="32" w:after="0"/>
              <w:ind w:left="524" w:right="864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представителей) или единственного родителя (законного представителя);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г) Статус участника специальной военной операции (СВО) </w:t>
            </w:r>
            <w:r>
              <w:rPr>
                <w:w w:val="98.52272380482067"/>
                <w:rFonts w:ascii="Segoe UI" w:hAnsi="Segoe UI" w:eastAsia="Segoe UI"/>
                <w:b w:val="0"/>
                <w:i w:val="0"/>
                <w:color w:val="000000"/>
                <w:sz w:val="22"/>
              </w:rPr>
              <w:t xml:space="preserve">*** 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;</w:t>
            </w:r>
            <w:r>
              <w:br/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д) Статус иных близких родственников  участника СВО</w:t>
            </w:r>
            <w:r>
              <w:rPr>
                <w:w w:val="98.52272380482067"/>
                <w:rFonts w:ascii="Segoe UI" w:hAnsi="Segoe UI" w:eastAsia="Segoe UI"/>
                <w:b w:val="0"/>
                <w:i w:val="0"/>
                <w:color w:val="000000"/>
                <w:sz w:val="22"/>
              </w:rPr>
              <w:t xml:space="preserve">*** 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;</w:t>
            </w:r>
          </w:p>
        </w:tc>
      </w:tr>
    </w:tbl>
    <w:p>
      <w:pPr>
        <w:autoSpaceDN w:val="0"/>
        <w:autoSpaceDE w:val="0"/>
        <w:widowControl/>
        <w:spacing w:line="266" w:lineRule="auto" w:before="186" w:after="0"/>
        <w:ind w:left="828" w:right="1152" w:firstLine="14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3.</w:t>
      </w: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 xml:space="preserve"> Отнесение к следующим категориям граждан (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при условии их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обучения (впервые) в НИУ ВШЭ по программам высшего образования на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платных местах до их призыва на военную службу по мобилизации):</w:t>
      </w:r>
    </w:p>
    <w:p>
      <w:pPr>
        <w:autoSpaceDN w:val="0"/>
        <w:autoSpaceDE w:val="0"/>
        <w:widowControl/>
        <w:spacing w:line="271" w:lineRule="auto" w:before="260" w:after="0"/>
        <w:ind w:left="1428" w:right="864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— 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признанные гражданами Российской Федерации в соответствии с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частью 1 статьи 5 федеральных конституционных законов о принятии в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состав Российской Федерации Донецкой Народной Республики,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Луганской Народной Республики, Запорожской и Херсонской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областей; </w:t>
      </w:r>
    </w:p>
    <w:p>
      <w:pPr>
        <w:autoSpaceDN w:val="0"/>
        <w:autoSpaceDE w:val="0"/>
        <w:widowControl/>
        <w:spacing w:line="257" w:lineRule="auto" w:before="262" w:after="26"/>
        <w:ind w:left="1428" w:right="864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— 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лица, постоянно проживавшие на территориях Донецкой Народной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Республики, Луганской Народной Республики на день их принятия в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28.0" w:type="dxa"/>
      </w:tblPr>
      <w:tblGrid>
        <w:gridCol w:w="10824"/>
      </w:tblGrid>
      <w:tr>
        <w:trPr>
          <w:trHeight w:hRule="exact" w:val="594"/>
        </w:trPr>
        <w:tc>
          <w:tcPr>
            <w:tcW w:type="dxa" w:w="9150"/>
            <w:tcBorders>
              <w:bottom w:sz="5.599999999999909" w:val="single" w:color="#DFE2E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600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Российскую Федерацию гражданами Российской Федерации.</w:t>
            </w:r>
          </w:p>
        </w:tc>
      </w:tr>
    </w:tbl>
    <w:p>
      <w:pPr>
        <w:autoSpaceDN w:val="0"/>
        <w:autoSpaceDE w:val="0"/>
        <w:widowControl/>
        <w:spacing w:line="18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8.0" w:type="dxa"/>
      </w:tblPr>
      <w:tblGrid>
        <w:gridCol w:w="10824"/>
      </w:tblGrid>
      <w:tr>
        <w:trPr>
          <w:trHeight w:hRule="exact" w:val="340"/>
        </w:trPr>
        <w:tc>
          <w:tcPr>
            <w:tcW w:type="dxa" w:w="9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420" w:right="0" w:firstLine="0"/>
              <w:jc w:val="left"/>
            </w:pPr>
            <w:r>
              <w:rPr>
                <w:w w:val="103.125"/>
                <w:rFonts w:ascii="Segoe UI" w:hAnsi="Segoe UI" w:eastAsia="Segoe UI"/>
                <w:b w:val="0"/>
                <w:i w:val="0"/>
                <w:color w:val="000000"/>
                <w:sz w:val="16"/>
              </w:rPr>
              <w:t>* Сдача — первая сдача экзамена по дисциплине / пересдача по уважительной причине (т.е. первая</w:t>
            </w:r>
          </w:p>
        </w:tc>
      </w:tr>
    </w:tbl>
    <w:p>
      <w:pPr>
        <w:autoSpaceDN w:val="0"/>
        <w:autoSpaceDE w:val="0"/>
        <w:widowControl/>
        <w:spacing w:line="240" w:lineRule="auto" w:before="126" w:after="0"/>
        <w:ind w:left="828" w:right="0" w:firstLine="0"/>
        <w:jc w:val="left"/>
      </w:pPr>
      <w:r>
        <w:rPr>
          <w:w w:val="103.125"/>
          <w:rFonts w:ascii="Segoe UI" w:hAnsi="Segoe UI" w:eastAsia="Segoe UI"/>
          <w:b w:val="0"/>
          <w:i w:val="0"/>
          <w:color w:val="000000"/>
          <w:sz w:val="16"/>
        </w:rPr>
        <w:t xml:space="preserve">сдача после неявки на экзамен по уважительной причине). </w:t>
      </w:r>
    </w:p>
    <w:p>
      <w:pPr>
        <w:autoSpaceDN w:val="0"/>
        <w:autoSpaceDE w:val="0"/>
        <w:widowControl/>
        <w:spacing w:line="240" w:lineRule="auto" w:before="380" w:after="0"/>
        <w:ind w:left="828" w:right="0" w:firstLine="0"/>
        <w:jc w:val="left"/>
      </w:pPr>
      <w:r>
        <w:rPr>
          <w:w w:val="103.125"/>
          <w:rFonts w:ascii="Segoe UI" w:hAnsi="Segoe UI" w:eastAsia="Segoe UI"/>
          <w:b w:val="0"/>
          <w:i w:val="0"/>
          <w:color w:val="000000"/>
          <w:sz w:val="16"/>
        </w:rPr>
        <w:t>** Последний семестр — предшетствующие подаче заявки два модуля. Например: если Вы подаете заявку в летнюю</w:t>
      </w:r>
    </w:p>
    <w:p>
      <w:pPr>
        <w:autoSpaceDN w:val="0"/>
        <w:autoSpaceDE w:val="0"/>
        <w:widowControl/>
        <w:spacing w:line="240" w:lineRule="auto" w:before="170" w:after="0"/>
        <w:ind w:left="828" w:right="0" w:firstLine="0"/>
        <w:jc w:val="left"/>
      </w:pPr>
      <w:r>
        <w:rPr>
          <w:w w:val="103.125"/>
          <w:rFonts w:ascii="Segoe UI" w:hAnsi="Segoe UI" w:eastAsia="Segoe UI"/>
          <w:b w:val="0"/>
          <w:i w:val="0"/>
          <w:color w:val="000000"/>
          <w:sz w:val="16"/>
        </w:rPr>
        <w:t>кампанию в июле, то у Вас должны быть результаты за 3-4 модули текущего учебного года. Если Вы подаете заявку в</w:t>
      </w:r>
    </w:p>
    <w:p>
      <w:pPr>
        <w:autoSpaceDN w:val="0"/>
        <w:autoSpaceDE w:val="0"/>
        <w:widowControl/>
        <w:spacing w:line="240" w:lineRule="auto" w:before="170" w:after="0"/>
        <w:ind w:left="828" w:right="0" w:firstLine="0"/>
        <w:jc w:val="left"/>
      </w:pPr>
      <w:r>
        <w:rPr>
          <w:w w:val="103.125"/>
          <w:rFonts w:ascii="Segoe UI" w:hAnsi="Segoe UI" w:eastAsia="Segoe UI"/>
          <w:b w:val="0"/>
          <w:i w:val="0"/>
          <w:color w:val="000000"/>
          <w:sz w:val="16"/>
        </w:rPr>
        <w:t xml:space="preserve">зимнюю кампанию в январе, то у Вас должны быть результаты за 1-2 модули текущего учебного года. </w:t>
      </w:r>
    </w:p>
    <w:p>
      <w:pPr>
        <w:autoSpaceDN w:val="0"/>
        <w:autoSpaceDE w:val="0"/>
        <w:widowControl/>
        <w:spacing w:line="240" w:lineRule="auto" w:before="380" w:after="0"/>
        <w:ind w:left="828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18"/>
        </w:rPr>
        <w:t>*** Иными близкими родственниками участника СВО признаются супруг (супруга) участника специальной</w:t>
      </w:r>
    </w:p>
    <w:p>
      <w:pPr>
        <w:autoSpaceDN w:val="0"/>
        <w:autoSpaceDE w:val="0"/>
        <w:widowControl/>
        <w:spacing w:line="238" w:lineRule="auto" w:before="168" w:after="0"/>
        <w:ind w:left="0" w:right="0" w:firstLine="0"/>
        <w:jc w:val="center"/>
      </w:pPr>
      <w:r>
        <w:rPr>
          <w:rFonts w:ascii="Segoe UI" w:hAnsi="Segoe UI" w:eastAsia="Segoe UI"/>
          <w:b w:val="0"/>
          <w:i w:val="0"/>
          <w:color w:val="000000"/>
          <w:sz w:val="18"/>
        </w:rPr>
        <w:t>военной операции, родители (усыновители), полнородные и неполнородные братья и сестры, представившие</w:t>
      </w:r>
    </w:p>
    <w:p>
      <w:pPr>
        <w:autoSpaceDN w:val="0"/>
        <w:autoSpaceDE w:val="0"/>
        <w:widowControl/>
        <w:spacing w:line="238" w:lineRule="auto" w:before="154" w:after="0"/>
        <w:ind w:left="0" w:right="0" w:firstLine="0"/>
        <w:jc w:val="center"/>
      </w:pPr>
      <w:r>
        <w:rPr>
          <w:rFonts w:ascii="Segoe UI" w:hAnsi="Segoe UI" w:eastAsia="Segoe UI"/>
          <w:b w:val="0"/>
          <w:i w:val="0"/>
          <w:color w:val="000000"/>
          <w:sz w:val="18"/>
        </w:rPr>
        <w:t>документ (-ы), подтверждающий (-е)  факт заключения брака, родства или усыновления, и справку, выданную</w:t>
      </w:r>
    </w:p>
    <w:p>
      <w:pPr>
        <w:autoSpaceDN w:val="0"/>
        <w:autoSpaceDE w:val="0"/>
        <w:widowControl/>
        <w:spacing w:line="240" w:lineRule="auto" w:before="168" w:after="0"/>
        <w:ind w:left="828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18"/>
        </w:rPr>
        <w:t>члену семьи участника СВО по форме, установленной Правительством Российской Федерации. Документы,</w:t>
      </w:r>
    </w:p>
    <w:p>
      <w:pPr>
        <w:autoSpaceDN w:val="0"/>
        <w:autoSpaceDE w:val="0"/>
        <w:widowControl/>
        <w:spacing w:line="240" w:lineRule="auto" w:before="152" w:after="92"/>
        <w:ind w:left="828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18"/>
        </w:rPr>
        <w:t>подтверждающие участие в СВО и/или родство с участником СВО должны быть приложены к заявке в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70.0" w:type="dxa"/>
      </w:tblPr>
      <w:tblGrid>
        <w:gridCol w:w="10824"/>
      </w:tblGrid>
      <w:tr>
        <w:trPr>
          <w:trHeight w:hRule="exact" w:val="2820"/>
        </w:trPr>
        <w:tc>
          <w:tcPr>
            <w:tcW w:type="dxa" w:w="10066"/>
            <w:tcBorders>
              <w:bottom w:sz="6.0" w:val="single" w:color="#EFEFE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4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007AC5"/>
                <w:sz w:val="18"/>
              </w:rPr>
              <w:hyperlink r:id="rId24" w:history="1">
                <w:r>
                  <w:rPr>
                    <w:rStyle w:val="Hyperlink"/>
                  </w:rPr>
                  <w:t>ЯУчусь</w:t>
                </w:r>
              </w:hyperlink>
            </w:r>
            <w:r>
              <w:rPr>
                <w:rFonts w:ascii="Segoe UI" w:hAnsi="Segoe UI" w:eastAsia="Segoe UI"/>
                <w:b w:val="0"/>
                <w:i w:val="0"/>
                <w:color w:val="000000"/>
                <w:sz w:val="18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8" w:h="16858"/>
          <w:pgMar w:top="0" w:right="542" w:bottom="0" w:left="5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"/>
        <w:ind w:left="0" w:right="0"/>
      </w:pPr>
    </w:p>
    <w:p>
      <w:pPr>
        <w:autoSpaceDN w:val="0"/>
        <w:autoSpaceDE w:val="0"/>
        <w:widowControl/>
        <w:spacing w:line="22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70.0" w:type="dxa"/>
      </w:tblPr>
      <w:tblGrid>
        <w:gridCol w:w="10824"/>
      </w:tblGrid>
      <w:tr>
        <w:trPr>
          <w:trHeight w:hRule="exact" w:val="1708"/>
        </w:trPr>
        <w:tc>
          <w:tcPr>
            <w:tcW w:type="dxa" w:w="10066"/>
            <w:tcBorders>
              <w:top w:sz="6.0" w:val="single" w:color="#EFEFE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88" w:after="0"/>
              <w:ind w:left="458" w:right="1152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Когда студенты 1 курса могут подать заявку по</w:t>
            </w: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основанию успеваемости?</w:t>
            </w:r>
          </w:p>
        </w:tc>
      </w:tr>
    </w:tbl>
    <w:p>
      <w:pPr>
        <w:autoSpaceDN w:val="0"/>
        <w:autoSpaceDE w:val="0"/>
        <w:widowControl/>
        <w:spacing w:line="259" w:lineRule="auto" w:before="146" w:after="32"/>
        <w:ind w:left="828" w:right="1152" w:firstLine="0"/>
        <w:jc w:val="left"/>
      </w:pPr>
      <w:r>
        <w:rPr>
          <w:shd w:val="clear" w:color="auto" w:fill="000095"/>
          <w:w w:val="98.07692307692307"/>
          <w:rFonts w:ascii="Segoe UI" w:hAnsi="Segoe UI" w:eastAsia="Segoe UI"/>
          <w:b w:val="0"/>
          <w:i w:val="0"/>
          <w:color w:val="000000"/>
          <w:sz w:val="26"/>
        </w:rPr>
        <w:t>Студенты 1 года обучения могут подать заявку на перевод на бюджетное</w:t>
      </w:r>
      <w:r>
        <w:rPr>
          <w:shd w:val="clear" w:color="auto" w:fill="000095"/>
          <w:w w:val="98.07692307692307"/>
          <w:rFonts w:ascii="Segoe UI" w:hAnsi="Segoe UI" w:eastAsia="Segoe UI"/>
          <w:b w:val="0"/>
          <w:i w:val="0"/>
          <w:color w:val="000000"/>
          <w:sz w:val="26"/>
        </w:rPr>
        <w:t>место не раньше зимней кампании, так как для подачи заявки у студентов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70.0" w:type="dxa"/>
      </w:tblPr>
      <w:tblGrid>
        <w:gridCol w:w="10824"/>
      </w:tblGrid>
      <w:tr>
        <w:trPr>
          <w:trHeight w:hRule="exact" w:val="1126"/>
        </w:trPr>
        <w:tc>
          <w:tcPr>
            <w:tcW w:type="dxa" w:w="10066"/>
            <w:tcBorders>
              <w:bottom w:sz="6.0" w:val="single" w:color="#EFEFE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45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должны быть результаты за семестр. </w:t>
            </w:r>
          </w:p>
        </w:tc>
      </w:tr>
    </w:tbl>
    <w:p>
      <w:pPr>
        <w:autoSpaceDN w:val="0"/>
        <w:autoSpaceDE w:val="0"/>
        <w:widowControl/>
        <w:spacing w:line="32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70.0" w:type="dxa"/>
      </w:tblPr>
      <w:tblGrid>
        <w:gridCol w:w="10824"/>
      </w:tblGrid>
      <w:tr>
        <w:trPr>
          <w:trHeight w:hRule="exact" w:val="1256"/>
        </w:trPr>
        <w:tc>
          <w:tcPr>
            <w:tcW w:type="dxa" w:w="10066"/>
            <w:tcBorders>
              <w:top w:sz="6.0" w:val="single" w:color="#EFEFE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6" w:after="0"/>
              <w:ind w:left="458" w:right="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Важно</w:t>
            </w:r>
          </w:p>
        </w:tc>
      </w:tr>
    </w:tbl>
    <w:p>
      <w:pPr>
        <w:autoSpaceDN w:val="0"/>
        <w:autoSpaceDE w:val="0"/>
        <w:widowControl/>
        <w:spacing w:line="271" w:lineRule="auto" w:before="146" w:after="0"/>
        <w:ind w:left="828" w:right="72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Особенности порядка перехода на бесплатное обучение студентов НИУ ВШЭ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установлены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5" w:history="1">
          <w:r>
            <w:rPr>
              <w:rStyle w:val="Hyperlink"/>
            </w:rPr>
            <w:t>Регламентом организации перехода студентов Национального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5" w:history="1">
          <w:r>
            <w:rPr>
              <w:rStyle w:val="Hyperlink"/>
            </w:rPr>
            <w:t>исследовательского университета «Высшая школа экономики» с платного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5" w:history="1">
          <w:r>
            <w:rPr>
              <w:rStyle w:val="Hyperlink"/>
            </w:rPr>
            <w:t>обучения на бесплатное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(Москва), и отдельные документы — для филиалов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НИУ ВШЭ.</w:t>
      </w:r>
    </w:p>
    <w:p>
      <w:pPr>
        <w:autoSpaceDN w:val="0"/>
        <w:autoSpaceDE w:val="0"/>
        <w:widowControl/>
        <w:spacing w:line="274" w:lineRule="auto" w:before="262" w:after="26"/>
        <w:ind w:left="828" w:right="864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На портале НИУ ВШЭ на страницах образовательных программ (раздел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"Число студентов и вакантные места") размещается информация о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количестве вакантных бюджетных мест (при наличии) и сроках подачи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заявлений на переход с платного обучения на бесплатное. Информация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размещается в установленные Регламентом сроки после окончания сессий 2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и 4 модулей и периодов пересдач для каждого курса образовательной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70.0" w:type="dxa"/>
      </w:tblPr>
      <w:tblGrid>
        <w:gridCol w:w="10824"/>
      </w:tblGrid>
      <w:tr>
        <w:trPr>
          <w:trHeight w:hRule="exact" w:val="1118"/>
        </w:trPr>
        <w:tc>
          <w:tcPr>
            <w:tcW w:type="dxa" w:w="10066"/>
            <w:tcBorders>
              <w:bottom w:sz="6.0" w:val="single" w:color="#EFEFE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45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программы, не являющейся полностью платной.</w:t>
            </w:r>
          </w:p>
        </w:tc>
      </w:tr>
    </w:tbl>
    <w:p>
      <w:pPr>
        <w:autoSpaceDN w:val="0"/>
        <w:autoSpaceDE w:val="0"/>
        <w:widowControl/>
        <w:spacing w:line="38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824"/>
      </w:tblGrid>
      <w:tr>
        <w:trPr>
          <w:trHeight w:hRule="exact" w:val="2014"/>
        </w:trPr>
        <w:tc>
          <w:tcPr>
            <w:tcW w:type="dxa" w:w="1080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002" w:after="0"/>
              <w:ind w:left="828" w:right="72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Как влияет гражданство на возможность перехода</w:t>
            </w: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на бесплатное обучение?</w:t>
            </w:r>
          </w:p>
        </w:tc>
      </w:tr>
    </w:tbl>
    <w:p>
      <w:pPr>
        <w:autoSpaceDN w:val="0"/>
        <w:autoSpaceDE w:val="0"/>
        <w:widowControl/>
        <w:spacing w:line="9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824"/>
      </w:tblGrid>
      <w:tr>
        <w:trPr>
          <w:trHeight w:hRule="exact" w:val="426"/>
        </w:trPr>
        <w:tc>
          <w:tcPr>
            <w:tcW w:type="dxa" w:w="10804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82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Право на переход с платного обучения на бесплатное имеют студенты НИУ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3.9999999999999" w:type="dxa"/>
      </w:tblPr>
      <w:tblGrid>
        <w:gridCol w:w="10824"/>
      </w:tblGrid>
      <w:tr>
        <w:trPr>
          <w:trHeight w:hRule="exact" w:val="398"/>
        </w:trPr>
        <w:tc>
          <w:tcPr>
            <w:tcW w:type="dxa" w:w="10200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524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ВШЭ-граждане Российской Федерации, а также иностранные граждане и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3.9999999999999" w:type="dxa"/>
      </w:tblPr>
      <w:tblGrid>
        <w:gridCol w:w="10824"/>
      </w:tblGrid>
      <w:tr>
        <w:trPr>
          <w:trHeight w:hRule="exact" w:val="396"/>
        </w:trPr>
        <w:tc>
          <w:tcPr>
            <w:tcW w:type="dxa" w:w="10200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2" w:after="0"/>
              <w:ind w:left="524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лица без гражданства, которые в соответствии с законодательством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3.9999999999999" w:type="dxa"/>
      </w:tblPr>
      <w:tblGrid>
        <w:gridCol w:w="10824"/>
      </w:tblGrid>
      <w:tr>
        <w:trPr>
          <w:trHeight w:hRule="exact" w:val="640"/>
        </w:trPr>
        <w:tc>
          <w:tcPr>
            <w:tcW w:type="dxa" w:w="10200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524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Российской Федерации вправе обучаться за счет бюджетных ассигнований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8" w:h="16858"/>
          <w:pgMar w:top="222" w:right="542" w:bottom="66" w:left="5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2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824"/>
      </w:tblGrid>
      <w:tr>
        <w:trPr>
          <w:trHeight w:hRule="exact" w:val="940"/>
        </w:trPr>
        <w:tc>
          <w:tcPr>
            <w:tcW w:type="dxa" w:w="10804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76" w:after="0"/>
              <w:ind w:left="82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федерального бюджета, бюджетов субъектов Российской Федерации и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3.9999999999999" w:type="dxa"/>
      </w:tblPr>
      <w:tblGrid>
        <w:gridCol w:w="10824"/>
      </w:tblGrid>
      <w:tr>
        <w:trPr>
          <w:trHeight w:hRule="exact" w:val="424"/>
        </w:trPr>
        <w:tc>
          <w:tcPr>
            <w:tcW w:type="dxa" w:w="10200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524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местных бюджетов. </w:t>
            </w:r>
          </w:p>
        </w:tc>
      </w:tr>
    </w:tbl>
    <w:p>
      <w:pPr>
        <w:autoSpaceDN w:val="0"/>
        <w:autoSpaceDE w:val="0"/>
        <w:widowControl/>
        <w:spacing w:line="42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3.9999999999999" w:type="dxa"/>
      </w:tblPr>
      <w:tblGrid>
        <w:gridCol w:w="10824"/>
      </w:tblGrid>
      <w:tr>
        <w:trPr>
          <w:trHeight w:hRule="exact" w:val="396"/>
        </w:trPr>
        <w:tc>
          <w:tcPr>
            <w:tcW w:type="dxa" w:w="10200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524" w:right="0" w:firstLine="0"/>
              <w:jc w:val="left"/>
            </w:pPr>
            <w:r>
              <w:rPr>
                <w:w w:val="101.14285605294364"/>
                <w:rFonts w:ascii="Segoe UI" w:hAnsi="Segoe UI" w:eastAsia="Segoe UI"/>
                <w:b w:val="0"/>
                <w:i w:val="0"/>
                <w:color w:val="FF0000"/>
                <w:sz w:val="21"/>
              </w:rPr>
              <w:t>Внимание: Иностранный студент, обучающийся по квоте, не может претендовать на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3.9999999999999" w:type="dxa"/>
      </w:tblPr>
      <w:tblGrid>
        <w:gridCol w:w="10824"/>
      </w:tblGrid>
      <w:tr>
        <w:trPr>
          <w:trHeight w:hRule="exact" w:val="396"/>
        </w:trPr>
        <w:tc>
          <w:tcPr>
            <w:tcW w:type="dxa" w:w="10200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4" w:after="0"/>
              <w:ind w:left="524" w:right="0" w:firstLine="0"/>
              <w:jc w:val="left"/>
            </w:pPr>
            <w:r>
              <w:rPr>
                <w:w w:val="101.14285605294364"/>
                <w:rFonts w:ascii="Segoe UI" w:hAnsi="Segoe UI" w:eastAsia="Segoe UI"/>
                <w:b w:val="0"/>
                <w:i w:val="0"/>
                <w:color w:val="FF0000"/>
                <w:sz w:val="21"/>
              </w:rPr>
              <w:t>переход на вакантное бюджетное место. Также иностранный студент, обучающийся на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3.9999999999999" w:type="dxa"/>
      </w:tblPr>
      <w:tblGrid>
        <w:gridCol w:w="10824"/>
      </w:tblGrid>
      <w:tr>
        <w:trPr>
          <w:trHeight w:hRule="exact" w:val="396"/>
        </w:trPr>
        <w:tc>
          <w:tcPr>
            <w:tcW w:type="dxa" w:w="10200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524" w:right="0" w:firstLine="0"/>
              <w:jc w:val="left"/>
            </w:pPr>
            <w:r>
              <w:rPr>
                <w:w w:val="101.14285605294364"/>
                <w:rFonts w:ascii="Segoe UI" w:hAnsi="Segoe UI" w:eastAsia="Segoe UI"/>
                <w:b w:val="0"/>
                <w:i w:val="0"/>
                <w:color w:val="FF0000"/>
                <w:sz w:val="21"/>
              </w:rPr>
              <w:t>коммерческой основе, не может претендовать на переход на освободившееся квотное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70.0" w:type="dxa"/>
      </w:tblPr>
      <w:tblGrid>
        <w:gridCol w:w="5412"/>
        <w:gridCol w:w="5412"/>
      </w:tblGrid>
      <w:tr>
        <w:trPr>
          <w:trHeight w:hRule="exact" w:val="1738"/>
        </w:trPr>
        <w:tc>
          <w:tcPr>
            <w:tcW w:type="dxa" w:w="1006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54" w:after="0"/>
              <w:ind w:left="458" w:right="0" w:firstLine="0"/>
              <w:jc w:val="left"/>
            </w:pPr>
            <w:r>
              <w:rPr>
                <w:w w:val="101.14285605294364"/>
                <w:rFonts w:ascii="Segoe UI" w:hAnsi="Segoe UI" w:eastAsia="Segoe UI"/>
                <w:b w:val="0"/>
                <w:i w:val="0"/>
                <w:color w:val="FF0000"/>
                <w:sz w:val="21"/>
              </w:rPr>
              <w:t>место.</w:t>
            </w:r>
          </w:p>
        </w:tc>
      </w:tr>
      <w:tr>
        <w:trPr>
          <w:trHeight w:hRule="exact" w:val="810"/>
        </w:trPr>
        <w:tc>
          <w:tcPr>
            <w:tcW w:type="dxa" w:w="1006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96" w:after="0"/>
              <w:ind w:left="234" w:right="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007AC5"/>
                <w:sz w:val="31"/>
              </w:rPr>
              <w:t>Иностранные граждане и лица без гражданства, имеющие</w:t>
            </w:r>
          </w:p>
        </w:tc>
      </w:tr>
      <w:tr>
        <w:trPr>
          <w:trHeight w:hRule="exact" w:val="1524"/>
        </w:trPr>
        <w:tc>
          <w:tcPr>
            <w:tcW w:type="dxa" w:w="8298"/>
            <w:tcBorders>
              <w:bottom w:sz="6.0" w:val="single" w:color="#EFEFE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34" w:right="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007AC5"/>
                <w:sz w:val="31"/>
              </w:rPr>
              <w:t>право на перевод с платного обучения на бесплатное</w:t>
            </w:r>
            <w:r>
              <w:rPr>
                <w:rFonts w:ascii="Segoe UI Semibold" w:hAnsi="Segoe UI Semibold" w:eastAsia="Segoe UI Semibold"/>
                <w:b/>
                <w:i w:val="0"/>
                <w:color w:val="007AC5"/>
                <w:sz w:val="31"/>
              </w:rPr>
              <w:t xml:space="preserve"> </w:t>
            </w:r>
          </w:p>
        </w:tc>
        <w:tc>
          <w:tcPr>
            <w:tcW w:type="dxa" w:w="1768"/>
            <w:tcBorders>
              <w:bottom w:sz="6.0" w:val="single" w:color="#EFEFE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20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5867400</wp:posOffset>
                  </wp:positionH>
                  <wp:positionV relativeFrom="page">
                    <wp:posOffset>3638550</wp:posOffset>
                  </wp:positionV>
                  <wp:extent cx="190500" cy="190500"/>
                  <wp:wrapNone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3.9999999999999" w:type="dxa"/>
      </w:tblPr>
      <w:tblGrid>
        <w:gridCol w:w="10824"/>
      </w:tblGrid>
      <w:tr>
        <w:trPr>
          <w:trHeight w:hRule="exact" w:val="2388"/>
        </w:trPr>
        <w:tc>
          <w:tcPr>
            <w:tcW w:type="dxa" w:w="1021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376" w:after="0"/>
              <w:ind w:left="524" w:right="2304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Как определяется количество вакантных</w:t>
            </w: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бюджетных мест для перехода?</w:t>
            </w:r>
          </w:p>
        </w:tc>
      </w:tr>
    </w:tbl>
    <w:p>
      <w:pPr>
        <w:autoSpaceDN w:val="0"/>
        <w:autoSpaceDE w:val="0"/>
        <w:widowControl/>
        <w:spacing w:line="240" w:lineRule="auto" w:before="156" w:after="0"/>
        <w:ind w:left="828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Количество вакантных бюджетных мест определяется как разница между</w:t>
      </w:r>
    </w:p>
    <w:p>
      <w:pPr>
        <w:autoSpaceDN w:val="0"/>
        <w:autoSpaceDE w:val="0"/>
        <w:widowControl/>
        <w:spacing w:line="240" w:lineRule="auto" w:before="52" w:after="0"/>
        <w:ind w:left="828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контрольными цифрами соответствующего года приема (количество мест</w:t>
      </w:r>
    </w:p>
    <w:p>
      <w:pPr>
        <w:autoSpaceDN w:val="0"/>
        <w:autoSpaceDE w:val="0"/>
        <w:widowControl/>
        <w:spacing w:line="240" w:lineRule="auto" w:before="66" w:after="0"/>
        <w:ind w:left="828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бюджетного приема на первый год обучения, установленные приказом</w:t>
      </w:r>
    </w:p>
    <w:p>
      <w:pPr>
        <w:autoSpaceDN w:val="0"/>
        <w:autoSpaceDE w:val="0"/>
        <w:widowControl/>
        <w:spacing w:line="240" w:lineRule="auto" w:before="50" w:after="0"/>
        <w:ind w:left="828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Министерства образования и науки РФ и распределенных по</w:t>
      </w:r>
    </w:p>
    <w:p>
      <w:pPr>
        <w:autoSpaceDN w:val="0"/>
        <w:autoSpaceDE w:val="0"/>
        <w:widowControl/>
        <w:spacing w:line="240" w:lineRule="auto" w:before="50" w:after="0"/>
        <w:ind w:left="828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образовательным программам решением ученого совета НИУ ВШЭ) и</w:t>
      </w:r>
    </w:p>
    <w:p>
      <w:pPr>
        <w:autoSpaceDN w:val="0"/>
        <w:autoSpaceDE w:val="0"/>
        <w:widowControl/>
        <w:spacing w:line="240" w:lineRule="auto" w:before="66" w:after="26"/>
        <w:ind w:left="0" w:right="0" w:firstLine="0"/>
        <w:jc w:val="center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фактическим количеством студентов, обучающихся на бюджетных местах по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70.0" w:type="dxa"/>
      </w:tblPr>
      <w:tblGrid>
        <w:gridCol w:w="10824"/>
      </w:tblGrid>
      <w:tr>
        <w:trPr>
          <w:trHeight w:hRule="exact" w:val="1118"/>
        </w:trPr>
        <w:tc>
          <w:tcPr>
            <w:tcW w:type="dxa" w:w="10066"/>
            <w:tcBorders>
              <w:bottom w:sz="6.0" w:val="single" w:color="#EFEFE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45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соответствующей образовательной программе на соответствующем курсе. </w:t>
            </w:r>
          </w:p>
        </w:tc>
      </w:tr>
    </w:tbl>
    <w:p>
      <w:pPr>
        <w:autoSpaceDN w:val="0"/>
        <w:autoSpaceDE w:val="0"/>
        <w:widowControl/>
        <w:spacing w:line="32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824"/>
      </w:tblGrid>
      <w:tr>
        <w:trPr>
          <w:trHeight w:hRule="exact" w:val="1716"/>
        </w:trPr>
        <w:tc>
          <w:tcPr>
            <w:tcW w:type="dxa" w:w="1080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04" w:after="0"/>
              <w:ind w:left="828" w:right="1008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Как определяется количество вакантных целевых</w:t>
            </w: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мест для перехода?</w:t>
            </w:r>
          </w:p>
        </w:tc>
      </w:tr>
    </w:tbl>
    <w:p>
      <w:pPr>
        <w:autoSpaceDN w:val="0"/>
        <w:autoSpaceDE w:val="0"/>
        <w:widowControl/>
        <w:spacing w:line="9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3.9999999999999" w:type="dxa"/>
      </w:tblPr>
      <w:tblGrid>
        <w:gridCol w:w="10824"/>
      </w:tblGrid>
      <w:tr>
        <w:trPr>
          <w:trHeight w:hRule="exact" w:val="426"/>
        </w:trPr>
        <w:tc>
          <w:tcPr>
            <w:tcW w:type="dxa" w:w="1020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524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Количество вакантных целевых мест определяется как разница между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8.0" w:type="dxa"/>
      </w:tblPr>
      <w:tblGrid>
        <w:gridCol w:w="10824"/>
      </w:tblGrid>
      <w:tr>
        <w:trPr>
          <w:trHeight w:hRule="exact" w:val="398"/>
        </w:trPr>
        <w:tc>
          <w:tcPr>
            <w:tcW w:type="dxa" w:w="960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20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числом студентов, обучавшихся на целевых бюджетных местах на дату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824"/>
      </w:tblGrid>
      <w:tr>
        <w:trPr>
          <w:trHeight w:hRule="exact" w:val="1246"/>
        </w:trPr>
        <w:tc>
          <w:tcPr>
            <w:tcW w:type="dxa" w:w="10804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2" w:after="0"/>
              <w:ind w:left="82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завершения предыдущей Кампании (либо на дату поступления в НИУ ВШЭ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8" w:h="16858"/>
          <w:pgMar w:top="0" w:right="542" w:bottom="66" w:left="5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7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3.9999999999999" w:type="dxa"/>
      </w:tblPr>
      <w:tblGrid>
        <w:gridCol w:w="10824"/>
      </w:tblGrid>
      <w:tr>
        <w:trPr>
          <w:trHeight w:hRule="exact" w:val="388"/>
        </w:trPr>
        <w:tc>
          <w:tcPr>
            <w:tcW w:type="dxa" w:w="1020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524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для зимней кампании в отношении первого курса), но отчисленных на дату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70.0" w:type="dxa"/>
      </w:tblPr>
      <w:tblGrid>
        <w:gridCol w:w="10824"/>
      </w:tblGrid>
      <w:tr>
        <w:trPr>
          <w:trHeight w:hRule="exact" w:val="1448"/>
        </w:trPr>
        <w:tc>
          <w:tcPr>
            <w:tcW w:type="dxa" w:w="10066"/>
            <w:tcBorders>
              <w:bottom w:sz="6.0" w:val="single" w:color="#EFEFE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45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старта текущей Кампании.</w:t>
            </w:r>
          </w:p>
        </w:tc>
      </w:tr>
    </w:tbl>
    <w:p>
      <w:pPr>
        <w:autoSpaceDN w:val="0"/>
        <w:autoSpaceDE w:val="0"/>
        <w:widowControl/>
        <w:spacing w:line="63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824"/>
      </w:tblGrid>
      <w:tr>
        <w:trPr>
          <w:trHeight w:hRule="exact" w:val="1086"/>
        </w:trPr>
        <w:tc>
          <w:tcPr>
            <w:tcW w:type="dxa" w:w="1080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0" w:after="0"/>
              <w:ind w:left="828" w:right="1152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Как определяется количество вакантных мест за</w:t>
            </w: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счет средств НИУ ВШЭ для перехода?</w:t>
            </w:r>
          </w:p>
        </w:tc>
      </w:tr>
    </w:tbl>
    <w:p>
      <w:pPr>
        <w:autoSpaceDN w:val="0"/>
        <w:autoSpaceDE w:val="0"/>
        <w:widowControl/>
        <w:spacing w:line="264" w:lineRule="auto" w:before="140" w:after="26"/>
        <w:ind w:left="828" w:right="1008" w:firstLine="0"/>
        <w:jc w:val="left"/>
      </w:pPr>
      <w:r>
        <w:rPr>
          <w:shd w:val="clear" w:color="auto" w:fill="000095"/>
          <w:w w:val="98.07692307692307"/>
          <w:rFonts w:ascii="Segoe UI" w:hAnsi="Segoe UI" w:eastAsia="Segoe UI"/>
          <w:b w:val="0"/>
          <w:i w:val="0"/>
          <w:color w:val="000000"/>
          <w:sz w:val="26"/>
        </w:rPr>
        <w:t>Количество вакантных мест за счет средств НИУ ВШЭ определяет Комиссия</w:t>
      </w:r>
      <w:r>
        <w:rPr>
          <w:shd w:val="clear" w:color="auto" w:fill="000095"/>
          <w:w w:val="98.07692307692307"/>
          <w:rFonts w:ascii="Segoe UI" w:hAnsi="Segoe UI" w:eastAsia="Segoe UI"/>
          <w:b w:val="0"/>
          <w:i w:val="0"/>
          <w:color w:val="000000"/>
          <w:sz w:val="26"/>
        </w:rPr>
        <w:t>по согласованию с проректором, отвечающим за формирование и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70.0" w:type="dxa"/>
      </w:tblPr>
      <w:tblGrid>
        <w:gridCol w:w="10824"/>
      </w:tblGrid>
      <w:tr>
        <w:trPr>
          <w:trHeight w:hRule="exact" w:val="1118"/>
        </w:trPr>
        <w:tc>
          <w:tcPr>
            <w:tcW w:type="dxa" w:w="10066"/>
            <w:tcBorders>
              <w:bottom w:sz="6.0" w:val="single" w:color="#EFEFE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45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реализацию финансовой и экономической политики НИУ ВШЭ.</w:t>
            </w:r>
          </w:p>
        </w:tc>
      </w:tr>
    </w:tbl>
    <w:p>
      <w:pPr>
        <w:autoSpaceDN w:val="0"/>
        <w:autoSpaceDE w:val="0"/>
        <w:widowControl/>
        <w:spacing w:line="32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70.0" w:type="dxa"/>
      </w:tblPr>
      <w:tblGrid>
        <w:gridCol w:w="10824"/>
      </w:tblGrid>
      <w:tr>
        <w:trPr>
          <w:trHeight w:hRule="exact" w:val="2172"/>
        </w:trPr>
        <w:tc>
          <w:tcPr>
            <w:tcW w:type="dxa" w:w="10066"/>
            <w:tcBorders>
              <w:top w:sz="6.0" w:val="single" w:color="#EFEFE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88" w:after="0"/>
              <w:ind w:left="458" w:right="72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Когда публикуется информация о наличии</w:t>
            </w:r>
            <w:r>
              <w:br/>
            </w: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вакантных бесплатных мест на образовательной</w:t>
            </w: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программе и стартует кампания?</w:t>
            </w:r>
          </w:p>
        </w:tc>
      </w:tr>
    </w:tbl>
    <w:p>
      <w:pPr>
        <w:autoSpaceDN w:val="0"/>
        <w:autoSpaceDE w:val="0"/>
        <w:widowControl/>
        <w:spacing w:line="240" w:lineRule="auto" w:before="132" w:after="34"/>
        <w:ind w:left="828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Сроки размещения информации о количестве вакантных бесплатных мест и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412"/>
        <w:gridCol w:w="5412"/>
      </w:tblGrid>
      <w:tr>
        <w:trPr>
          <w:trHeight w:hRule="exact" w:val="482"/>
        </w:trPr>
        <w:tc>
          <w:tcPr>
            <w:tcW w:type="dxa" w:w="10804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2" w:after="0"/>
              <w:ind w:left="82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начало кампании:</w:t>
            </w:r>
          </w:p>
        </w:tc>
      </w:tr>
      <w:tr>
        <w:trPr>
          <w:trHeight w:hRule="exact" w:val="600"/>
        </w:trPr>
        <w:tc>
          <w:tcPr>
            <w:tcW w:type="dxa" w:w="174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50" w:after="0"/>
              <w:ind w:left="0" w:right="0" w:firstLine="0"/>
              <w:jc w:val="righ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— </w:t>
            </w:r>
          </w:p>
        </w:tc>
        <w:tc>
          <w:tcPr>
            <w:tcW w:type="dxa" w:w="90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50" w:after="0"/>
              <w:ind w:left="6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После осеннего периода пересдач: 27 октября </w:t>
            </w:r>
          </w:p>
        </w:tc>
      </w:tr>
      <w:tr>
        <w:trPr>
          <w:trHeight w:hRule="exact" w:val="580"/>
        </w:trPr>
        <w:tc>
          <w:tcPr>
            <w:tcW w:type="dxa" w:w="174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0" w:right="0" w:firstLine="0"/>
              <w:jc w:val="righ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— </w:t>
            </w:r>
          </w:p>
        </w:tc>
        <w:tc>
          <w:tcPr>
            <w:tcW w:type="dxa" w:w="90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6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После сессии 2 модуля: 27 января </w:t>
            </w:r>
          </w:p>
        </w:tc>
      </w:tr>
      <w:tr>
        <w:trPr>
          <w:trHeight w:hRule="exact" w:val="600"/>
        </w:trPr>
        <w:tc>
          <w:tcPr>
            <w:tcW w:type="dxa" w:w="174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0" w:after="0"/>
              <w:ind w:left="0" w:right="0" w:firstLine="0"/>
              <w:jc w:val="righ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— </w:t>
            </w:r>
          </w:p>
        </w:tc>
        <w:tc>
          <w:tcPr>
            <w:tcW w:type="dxa" w:w="90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0" w:after="0"/>
              <w:ind w:left="6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После зимнего периода пересдач: 10 марта</w:t>
            </w:r>
          </w:p>
        </w:tc>
      </w:tr>
      <w:tr>
        <w:trPr>
          <w:trHeight w:hRule="exact" w:val="524"/>
        </w:trPr>
        <w:tc>
          <w:tcPr>
            <w:tcW w:type="dxa" w:w="174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4" w:after="0"/>
              <w:ind w:left="0" w:right="0" w:firstLine="0"/>
              <w:jc w:val="righ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— </w:t>
            </w:r>
          </w:p>
        </w:tc>
        <w:tc>
          <w:tcPr>
            <w:tcW w:type="dxa" w:w="90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4" w:after="0"/>
              <w:ind w:left="6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После сессии 4 модуля: 21 июля </w:t>
            </w:r>
          </w:p>
        </w:tc>
      </w:tr>
    </w:tbl>
    <w:p>
      <w:pPr>
        <w:autoSpaceDN w:val="0"/>
        <w:autoSpaceDE w:val="0"/>
        <w:widowControl/>
        <w:spacing w:line="266" w:lineRule="auto" w:before="200" w:after="0"/>
        <w:ind w:left="828" w:right="1008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Если установленная дата публикации информации совпадает с выходными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(праздничными) днями, срок может быть перенесен на первый рабочий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день после окончания выходных (праздничных) дней.</w:t>
      </w:r>
    </w:p>
    <w:p>
      <w:pPr>
        <w:autoSpaceDN w:val="0"/>
        <w:autoSpaceDE w:val="0"/>
        <w:widowControl/>
        <w:spacing w:line="240" w:lineRule="auto" w:before="52" w:after="26"/>
        <w:ind w:left="828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Информация о наличии вакантных бюджетных мест на ОП - на страницах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70.0" w:type="dxa"/>
      </w:tblPr>
      <w:tblGrid>
        <w:gridCol w:w="10824"/>
      </w:tblGrid>
      <w:tr>
        <w:trPr>
          <w:trHeight w:hRule="exact" w:val="1098"/>
        </w:trPr>
        <w:tc>
          <w:tcPr>
            <w:tcW w:type="dxa" w:w="10066"/>
            <w:tcBorders>
              <w:bottom w:sz="6.0" w:val="single" w:color="#EFEFE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45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ОП "Число студентов и вакантные места".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8" w:h="16858"/>
          <w:pgMar w:top="0" w:right="542" w:bottom="0" w:left="5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"/>
        <w:ind w:left="0" w:right="0"/>
      </w:pPr>
    </w:p>
    <w:p>
      <w:pPr>
        <w:autoSpaceDN w:val="0"/>
        <w:autoSpaceDE w:val="0"/>
        <w:widowControl/>
        <w:spacing w:line="22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70.0" w:type="dxa"/>
      </w:tblPr>
      <w:tblGrid>
        <w:gridCol w:w="5412"/>
        <w:gridCol w:w="5412"/>
      </w:tblGrid>
      <w:tr>
        <w:trPr>
          <w:trHeight w:hRule="exact" w:val="1738"/>
        </w:trPr>
        <w:tc>
          <w:tcPr>
            <w:tcW w:type="dxa" w:w="10066"/>
            <w:gridSpan w:val="2"/>
            <w:tcBorders>
              <w:top w:sz="6.0" w:val="single" w:color="#EFEFE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88" w:after="0"/>
              <w:ind w:left="458" w:right="144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Каков порядок подачи заявки о переходе на</w:t>
            </w: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бесплатное место?</w:t>
            </w:r>
          </w:p>
        </w:tc>
      </w:tr>
      <w:tr>
        <w:trPr>
          <w:trHeight w:hRule="exact" w:val="488"/>
        </w:trPr>
        <w:tc>
          <w:tcPr>
            <w:tcW w:type="dxa" w:w="137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4" w:after="0"/>
              <w:ind w:left="0" w:right="0" w:firstLine="0"/>
              <w:jc w:val="righ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— </w:t>
            </w:r>
          </w:p>
        </w:tc>
        <w:tc>
          <w:tcPr>
            <w:tcW w:type="dxa" w:w="868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4" w:after="0"/>
              <w:ind w:left="6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Сроки подачи заявок в НИУ ВШЭ установлены: в течение семи</w:t>
            </w:r>
          </w:p>
        </w:tc>
      </w:tr>
    </w:tbl>
    <w:p>
      <w:pPr>
        <w:autoSpaceDN w:val="0"/>
        <w:autoSpaceDE w:val="0"/>
        <w:widowControl/>
        <w:spacing w:line="240" w:lineRule="auto" w:before="18" w:after="0"/>
        <w:ind w:left="1428" w:right="0" w:firstLine="0"/>
        <w:jc w:val="left"/>
      </w:pPr>
      <w:r>
        <w:rPr>
          <w:shd w:val="clear" w:color="auto" w:fill="000095"/>
          <w:w w:val="98.07692307692307"/>
          <w:rFonts w:ascii="Segoe UI" w:hAnsi="Segoe UI" w:eastAsia="Segoe UI"/>
          <w:b w:val="0"/>
          <w:i w:val="0"/>
          <w:color w:val="000000"/>
          <w:sz w:val="26"/>
        </w:rPr>
        <w:t>календарных дней с даты начала кампании (включительно).</w:t>
      </w:r>
    </w:p>
    <w:p>
      <w:pPr>
        <w:autoSpaceDN w:val="0"/>
        <w:autoSpaceDE w:val="0"/>
        <w:widowControl/>
        <w:spacing w:line="269" w:lineRule="auto" w:before="260" w:after="0"/>
        <w:ind w:left="1428" w:right="1008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— 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В кабинете в системе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4" w:history="1">
          <w:r>
            <w:rPr>
              <w:rStyle w:val="Hyperlink"/>
            </w:rPr>
            <w:t>ЯУчусь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(istudy.hse.ru) НИУ ВШЭ доступен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модуль «Заявка на переход на бесплатное место», через который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студенты, обучающиеся на коммерческой основе, должны оформлять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заявки на перевод на бесплатное обучение. </w:t>
      </w:r>
    </w:p>
    <w:p>
      <w:pPr>
        <w:autoSpaceDN w:val="0"/>
        <w:autoSpaceDE w:val="0"/>
        <w:widowControl/>
        <w:spacing w:line="264" w:lineRule="auto" w:before="262" w:after="32"/>
        <w:ind w:left="828" w:right="1728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Важно: При подаче заявки на переход на бесплатное обучение по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основанию успеваемости студент не сможет выбрать (опция будет не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активна) соответствующее основание для перевода, если на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70.0" w:type="dxa"/>
      </w:tblPr>
      <w:tblGrid>
        <w:gridCol w:w="10824"/>
      </w:tblGrid>
      <w:tr>
        <w:trPr>
          <w:trHeight w:hRule="exact" w:val="1112"/>
        </w:trPr>
        <w:tc>
          <w:tcPr>
            <w:tcW w:type="dxa" w:w="10066"/>
            <w:tcBorders>
              <w:bottom w:sz="6.0" w:val="single" w:color="#EFEFE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45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образовательной программе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нет вакантных бюджетных мест.</w:t>
            </w:r>
          </w:p>
        </w:tc>
      </w:tr>
    </w:tbl>
    <w:p>
      <w:pPr>
        <w:autoSpaceDN w:val="0"/>
        <w:autoSpaceDE w:val="0"/>
        <w:widowControl/>
        <w:spacing w:line="33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70.0" w:type="dxa"/>
      </w:tblPr>
      <w:tblGrid>
        <w:gridCol w:w="10824"/>
      </w:tblGrid>
      <w:tr>
        <w:trPr>
          <w:trHeight w:hRule="exact" w:val="1706"/>
        </w:trPr>
        <w:tc>
          <w:tcPr>
            <w:tcW w:type="dxa" w:w="10066"/>
            <w:tcBorders>
              <w:top w:sz="6.0" w:val="single" w:color="#EFEFE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86" w:after="0"/>
              <w:ind w:left="458" w:right="1296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Принятие решений о переходе на бесплатное</w:t>
            </w: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обучение</w:t>
            </w:r>
          </w:p>
        </w:tc>
      </w:tr>
    </w:tbl>
    <w:p>
      <w:pPr>
        <w:autoSpaceDN w:val="0"/>
        <w:autoSpaceDE w:val="0"/>
        <w:widowControl/>
        <w:spacing w:line="264" w:lineRule="auto" w:before="148" w:after="202"/>
        <w:ind w:left="828" w:right="1728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После завершения периода рассмотрения заявок, принятых на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рассмотрение, решение о переходе студента с платного обучения на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бесплатное принимает общеуниверситетская комиссия.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70.0" w:type="dxa"/>
      </w:tblPr>
      <w:tblGrid>
        <w:gridCol w:w="10824"/>
      </w:tblGrid>
      <w:tr>
        <w:trPr>
          <w:trHeight w:hRule="exact" w:val="1152"/>
        </w:trPr>
        <w:tc>
          <w:tcPr>
            <w:tcW w:type="dxa" w:w="10066"/>
            <w:tcBorders>
              <w:bottom w:sz="6.0" w:val="single" w:color="#EFEFE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45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Решение оформляется протоколом комиссии.</w:t>
            </w:r>
          </w:p>
        </w:tc>
      </w:tr>
    </w:tbl>
    <w:p>
      <w:pPr>
        <w:autoSpaceDN w:val="0"/>
        <w:autoSpaceDE w:val="0"/>
        <w:widowControl/>
        <w:spacing w:line="32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824"/>
      </w:tblGrid>
      <w:tr>
        <w:trPr>
          <w:trHeight w:hRule="exact" w:val="1730"/>
        </w:trPr>
        <w:tc>
          <w:tcPr>
            <w:tcW w:type="dxa" w:w="1080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04" w:after="0"/>
              <w:ind w:left="828" w:right="2016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Дата перехода на бесплатное обучение при</w:t>
            </w: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соответствующем решении Комиссии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3.9999999999999" w:type="dxa"/>
      </w:tblPr>
      <w:tblGrid>
        <w:gridCol w:w="10824"/>
      </w:tblGrid>
      <w:tr>
        <w:trPr>
          <w:trHeight w:hRule="exact" w:val="460"/>
        </w:trPr>
        <w:tc>
          <w:tcPr>
            <w:tcW w:type="dxa" w:w="1020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524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– с 1 ноября для осенней кампании после периода пересдач;</w:t>
            </w:r>
          </w:p>
        </w:tc>
      </w:tr>
    </w:tbl>
    <w:p>
      <w:pPr>
        <w:autoSpaceDN w:val="0"/>
        <w:autoSpaceDE w:val="0"/>
        <w:widowControl/>
        <w:spacing w:line="1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8.0" w:type="dxa"/>
      </w:tblPr>
      <w:tblGrid>
        <w:gridCol w:w="10824"/>
      </w:tblGrid>
      <w:tr>
        <w:trPr>
          <w:trHeight w:hRule="exact" w:val="460"/>
        </w:trPr>
        <w:tc>
          <w:tcPr>
            <w:tcW w:type="dxa" w:w="754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420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– с 1 февраля для зимней кампании;</w:t>
            </w:r>
          </w:p>
        </w:tc>
      </w:tr>
    </w:tbl>
    <w:p>
      <w:pPr>
        <w:autoSpaceDN w:val="0"/>
        <w:autoSpaceDE w:val="0"/>
        <w:widowControl/>
        <w:spacing w:line="1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8.0" w:type="dxa"/>
      </w:tblPr>
      <w:tblGrid>
        <w:gridCol w:w="10824"/>
      </w:tblGrid>
      <w:tr>
        <w:trPr>
          <w:trHeight w:hRule="exact" w:val="440"/>
        </w:trPr>
        <w:tc>
          <w:tcPr>
            <w:tcW w:type="dxa" w:w="906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420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– с 1 апреля для весенней кампании после периода пересдач;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8" w:h="16858"/>
          <w:pgMar w:top="222" w:right="542" w:bottom="66" w:left="5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2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824"/>
      </w:tblGrid>
      <w:tr>
        <w:trPr>
          <w:trHeight w:hRule="exact" w:val="2056"/>
        </w:trPr>
        <w:tc>
          <w:tcPr>
            <w:tcW w:type="dxa" w:w="10804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0804"/>
            </w:tblGrid>
            <w:tr>
              <w:trPr>
                <w:trHeight w:hRule="exact" w:val="2036"/>
              </w:trPr>
              <w:tc>
                <w:tcPr>
                  <w:tcW w:type="dxa" w:w="10804"/>
                  <w:tcBorders/>
                  <w:shd w:fill="00009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52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303.9999999999999" w:type="dxa"/>
                  </w:tblPr>
                  <w:tblGrid>
                    <w:gridCol w:w="10804"/>
                  </w:tblGrid>
                  <w:tr>
                    <w:trPr>
                      <w:trHeight w:hRule="exact" w:val="1104"/>
                    </w:trPr>
                    <w:tc>
                      <w:tcPr>
                        <w:tcW w:type="dxa" w:w="10200"/>
                        <w:tcBorders/>
                        <w:shd w:fill="efefe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24" w:after="0"/>
                          <w:ind w:left="524" w:right="0" w:firstLine="0"/>
                          <w:jc w:val="left"/>
                        </w:pPr>
                        <w:r>
                          <w:rPr>
                            <w:w w:val="98.07692307692307"/>
                            <w:rFonts w:ascii="Segoe UI" w:hAnsi="Segoe UI" w:eastAsia="Segoe UI"/>
                            <w:b w:val="0"/>
                            <w:i w:val="0"/>
                            <w:color w:val="000000"/>
                            <w:sz w:val="26"/>
                          </w:rPr>
                          <w:t>– с 1 сентября для летней кампании.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70.0" w:type="dxa"/>
      </w:tblPr>
      <w:tblGrid>
        <w:gridCol w:w="10824"/>
      </w:tblGrid>
      <w:tr>
        <w:trPr>
          <w:trHeight w:hRule="exact" w:val="1668"/>
        </w:trPr>
        <w:tc>
          <w:tcPr>
            <w:tcW w:type="dxa" w:w="10066"/>
            <w:tcBorders>
              <w:bottom w:sz="6.0" w:val="single" w:color="#EFEFE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30" w:after="0"/>
              <w:ind w:left="0" w:right="0" w:firstLine="0"/>
              <w:jc w:val="center"/>
            </w:pP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FFFFFF"/>
                <w:sz w:val="31"/>
              </w:rPr>
              <w:t>Протоколы общеуниверситетской комиссии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3.9999999999999" w:type="dxa"/>
      </w:tblPr>
      <w:tblGrid>
        <w:gridCol w:w="10824"/>
      </w:tblGrid>
      <w:tr>
        <w:trPr>
          <w:trHeight w:hRule="exact" w:val="1940"/>
        </w:trPr>
        <w:tc>
          <w:tcPr>
            <w:tcW w:type="dxa" w:w="1021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78" w:after="0"/>
              <w:ind w:left="524" w:right="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Важно</w:t>
            </w:r>
          </w:p>
        </w:tc>
      </w:tr>
    </w:tbl>
    <w:p>
      <w:pPr>
        <w:autoSpaceDN w:val="0"/>
        <w:autoSpaceDE w:val="0"/>
        <w:widowControl/>
        <w:spacing w:line="240" w:lineRule="auto" w:before="156" w:after="0"/>
        <w:ind w:left="1428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— 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Если у студента есть основания претендовать на переход на</w:t>
      </w:r>
    </w:p>
    <w:p>
      <w:pPr>
        <w:autoSpaceDN w:val="0"/>
        <w:autoSpaceDE w:val="0"/>
        <w:widowControl/>
        <w:spacing w:line="240" w:lineRule="auto" w:before="52" w:after="26"/>
        <w:ind w:left="1428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бесплатное обучение, а он не смог (не успел) подать заявку в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412"/>
        <w:gridCol w:w="5412"/>
      </w:tblGrid>
      <w:tr>
        <w:trPr>
          <w:trHeight w:hRule="exact" w:val="486"/>
        </w:trPr>
        <w:tc>
          <w:tcPr>
            <w:tcW w:type="dxa" w:w="10804"/>
            <w:gridSpan w:val="2"/>
            <w:tcBorders/>
            <w:shd w:fill="00009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142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установленный срок, то он сможет подать заявку в следующий период.</w:t>
            </w:r>
          </w:p>
        </w:tc>
      </w:tr>
      <w:tr>
        <w:trPr>
          <w:trHeight w:hRule="exact" w:val="498"/>
        </w:trPr>
        <w:tc>
          <w:tcPr>
            <w:tcW w:type="dxa" w:w="1748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4" w:after="0"/>
              <w:ind w:left="0" w:right="0" w:firstLine="0"/>
              <w:jc w:val="righ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— </w:t>
            </w:r>
          </w:p>
        </w:tc>
        <w:tc>
          <w:tcPr>
            <w:tcW w:type="dxa" w:w="9056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4" w:after="0"/>
              <w:ind w:left="6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Если студент НИУ ВШЭ удовлетворяет критериям по основанию</w:t>
            </w:r>
          </w:p>
        </w:tc>
      </w:tr>
    </w:tbl>
    <w:p>
      <w:pPr>
        <w:autoSpaceDN w:val="0"/>
        <w:autoSpaceDE w:val="0"/>
        <w:widowControl/>
        <w:spacing w:line="240" w:lineRule="auto" w:before="32" w:after="0"/>
        <w:ind w:left="1428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успеваемости, но на соответствующем курсе образовательной</w:t>
      </w:r>
    </w:p>
    <w:p>
      <w:pPr>
        <w:autoSpaceDN w:val="0"/>
        <w:autoSpaceDE w:val="0"/>
        <w:widowControl/>
        <w:spacing w:line="240" w:lineRule="auto" w:before="52" w:after="32"/>
        <w:ind w:left="1428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программы отсутствуют вакантные бюджетные места, студент не может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8.0" w:type="dxa"/>
      </w:tblPr>
      <w:tblGrid>
        <w:gridCol w:w="5412"/>
        <w:gridCol w:w="5412"/>
      </w:tblGrid>
      <w:tr>
        <w:trPr>
          <w:trHeight w:hRule="exact" w:val="490"/>
        </w:trPr>
        <w:tc>
          <w:tcPr>
            <w:tcW w:type="dxa" w:w="9680"/>
            <w:gridSpan w:val="2"/>
            <w:tcBorders/>
            <w:shd w:fill="00009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720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перейти на бесплатное обучение.</w:t>
            </w:r>
          </w:p>
        </w:tc>
      </w:tr>
      <w:tr>
        <w:trPr>
          <w:trHeight w:hRule="exact" w:val="494"/>
        </w:trPr>
        <w:tc>
          <w:tcPr>
            <w:tcW w:type="dxa" w:w="1040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0" w:after="0"/>
              <w:ind w:left="0" w:right="0" w:firstLine="0"/>
              <w:jc w:val="righ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— </w:t>
            </w:r>
          </w:p>
        </w:tc>
        <w:tc>
          <w:tcPr>
            <w:tcW w:type="dxa" w:w="8640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0" w:after="0"/>
              <w:ind w:left="6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Если студент претендует на переход на вакантное целевое место, ему</w:t>
            </w:r>
          </w:p>
        </w:tc>
      </w:tr>
    </w:tbl>
    <w:p>
      <w:pPr>
        <w:autoSpaceDN w:val="0"/>
        <w:autoSpaceDE w:val="0"/>
        <w:widowControl/>
        <w:spacing w:line="240" w:lineRule="auto" w:before="26" w:after="0"/>
        <w:ind w:left="1428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необходимо приложить к заявке подтверждение согласия от компании-</w:t>
      </w:r>
    </w:p>
    <w:p>
      <w:pPr>
        <w:autoSpaceDN w:val="0"/>
        <w:autoSpaceDE w:val="0"/>
        <w:widowControl/>
        <w:spacing w:line="240" w:lineRule="auto" w:before="52" w:after="32"/>
        <w:ind w:left="1428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заказчика: договор о целевом обучении или письмо-согласие о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8.0" w:type="dxa"/>
      </w:tblPr>
      <w:tblGrid>
        <w:gridCol w:w="5412"/>
        <w:gridCol w:w="5412"/>
      </w:tblGrid>
      <w:tr>
        <w:trPr>
          <w:trHeight w:hRule="exact" w:val="480"/>
        </w:trPr>
        <w:tc>
          <w:tcPr>
            <w:tcW w:type="dxa" w:w="9180"/>
            <w:gridSpan w:val="2"/>
            <w:tcBorders/>
            <w:shd w:fill="00009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720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заключении такого договора.</w:t>
            </w:r>
          </w:p>
        </w:tc>
      </w:tr>
      <w:tr>
        <w:trPr>
          <w:trHeight w:hRule="exact" w:val="504"/>
        </w:trPr>
        <w:tc>
          <w:tcPr>
            <w:tcW w:type="dxa" w:w="1040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0" w:after="0"/>
              <w:ind w:left="0" w:right="0" w:firstLine="0"/>
              <w:jc w:val="righ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— </w:t>
            </w:r>
          </w:p>
        </w:tc>
        <w:tc>
          <w:tcPr>
            <w:tcW w:type="dxa" w:w="8140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0" w:after="0"/>
              <w:ind w:left="6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Если студент НИУ ВШЭ претендует на перевод на бесплатное</w:t>
            </w:r>
          </w:p>
        </w:tc>
      </w:tr>
    </w:tbl>
    <w:p>
      <w:pPr>
        <w:autoSpaceDN w:val="0"/>
        <w:autoSpaceDE w:val="0"/>
        <w:widowControl/>
        <w:spacing w:line="240" w:lineRule="auto" w:before="26" w:after="26"/>
        <w:ind w:left="0" w:right="0" w:firstLine="0"/>
        <w:jc w:val="center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обучение по социальным основаниям, он может подать заявку при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70.0" w:type="dxa"/>
      </w:tblPr>
      <w:tblGrid>
        <w:gridCol w:w="10824"/>
      </w:tblGrid>
      <w:tr>
        <w:trPr>
          <w:trHeight w:hRule="exact" w:val="1118"/>
        </w:trPr>
        <w:tc>
          <w:tcPr>
            <w:tcW w:type="dxa" w:w="10066"/>
            <w:tcBorders>
              <w:bottom w:sz="6.0" w:val="single" w:color="#EFEFE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105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отсутствии вакантных бюджетных мест на программе. </w:t>
            </w:r>
          </w:p>
        </w:tc>
      </w:tr>
    </w:tbl>
    <w:p>
      <w:pPr>
        <w:autoSpaceDN w:val="0"/>
        <w:autoSpaceDE w:val="0"/>
        <w:widowControl/>
        <w:spacing w:line="45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824"/>
      </w:tblGrid>
      <w:tr>
        <w:trPr>
          <w:trHeight w:hRule="exact" w:val="1506"/>
        </w:trPr>
        <w:tc>
          <w:tcPr>
            <w:tcW w:type="dxa" w:w="1080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44" w:after="0"/>
              <w:ind w:left="828" w:right="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Регламентирующие документы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824"/>
      </w:tblGrid>
      <w:tr>
        <w:trPr>
          <w:trHeight w:hRule="exact" w:val="434"/>
        </w:trPr>
        <w:tc>
          <w:tcPr>
            <w:tcW w:type="dxa" w:w="10804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828" w:right="0" w:firstLine="0"/>
              <w:jc w:val="left"/>
            </w:pP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21" w:history="1">
                <w:r>
                  <w:rPr>
                    <w:rStyle w:val="Hyperlink"/>
                  </w:rPr>
                  <w:t>Приказ Министерства науки и высшего образования РФ от 28 августа 2023 г.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3.9999999999999" w:type="dxa"/>
      </w:tblPr>
      <w:tblGrid>
        <w:gridCol w:w="10824"/>
      </w:tblGrid>
      <w:tr>
        <w:trPr>
          <w:trHeight w:hRule="exact" w:val="396"/>
        </w:trPr>
        <w:tc>
          <w:tcPr>
            <w:tcW w:type="dxa" w:w="10200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2" w:after="0"/>
              <w:ind w:left="524" w:right="0" w:firstLine="0"/>
              <w:jc w:val="left"/>
            </w:pP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21" w:history="1">
                <w:r>
                  <w:rPr>
                    <w:rStyle w:val="Hyperlink"/>
                  </w:rPr>
                  <w:t>N 822 "Об утверждении порядка и случаев перехода лиц, обучающихся по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3.9999999999999" w:type="dxa"/>
      </w:tblPr>
      <w:tblGrid>
        <w:gridCol w:w="10824"/>
      </w:tblGrid>
      <w:tr>
        <w:trPr>
          <w:trHeight w:hRule="exact" w:val="390"/>
        </w:trPr>
        <w:tc>
          <w:tcPr>
            <w:tcW w:type="dxa" w:w="10200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524" w:right="0" w:firstLine="0"/>
              <w:jc w:val="left"/>
            </w:pP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21" w:history="1">
                <w:r>
                  <w:rPr>
                    <w:rStyle w:val="Hyperlink"/>
                  </w:rPr>
                  <w:t>образовательным программам среднего профессионального и высшего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3.9999999999999" w:type="dxa"/>
      </w:tblPr>
      <w:tblGrid>
        <w:gridCol w:w="10824"/>
      </w:tblGrid>
      <w:tr>
        <w:trPr>
          <w:trHeight w:hRule="exact" w:val="396"/>
        </w:trPr>
        <w:tc>
          <w:tcPr>
            <w:tcW w:type="dxa" w:w="10200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524" w:right="0" w:firstLine="0"/>
              <w:jc w:val="left"/>
            </w:pP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21" w:history="1">
                <w:r>
                  <w:rPr>
                    <w:rStyle w:val="Hyperlink"/>
                  </w:rPr>
                  <w:t>образования, с платного обучения на обучение за счет средств бюджетных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3.9999999999999" w:type="dxa"/>
      </w:tblPr>
      <w:tblGrid>
        <w:gridCol w:w="10824"/>
      </w:tblGrid>
      <w:tr>
        <w:trPr>
          <w:trHeight w:hRule="exact" w:val="454"/>
        </w:trPr>
        <w:tc>
          <w:tcPr>
            <w:tcW w:type="dxa" w:w="10200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524" w:right="0" w:firstLine="0"/>
              <w:jc w:val="left"/>
            </w:pP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21" w:history="1">
                <w:r>
                  <w:rPr>
                    <w:rStyle w:val="Hyperlink"/>
                  </w:rPr>
                  <w:t>ассигнований федерального бюджета, бюджетов субъектов Российской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8" w:h="16858"/>
          <w:pgMar w:top="0" w:right="542" w:bottom="66" w:left="5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2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824"/>
      </w:tblGrid>
      <w:tr>
        <w:trPr>
          <w:trHeight w:hRule="exact" w:val="940"/>
        </w:trPr>
        <w:tc>
          <w:tcPr>
            <w:tcW w:type="dxa" w:w="10804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76" w:after="0"/>
              <w:ind w:left="828" w:right="0" w:firstLine="0"/>
              <w:jc w:val="left"/>
            </w:pP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21" w:history="1">
                <w:r>
                  <w:rPr>
                    <w:rStyle w:val="Hyperlink"/>
                  </w:rPr>
                  <w:t>Федерации и местных бюджетов либо за счет собственных средств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240" w:lineRule="auto" w:before="26" w:after="0"/>
        <w:ind w:left="828" w:right="0" w:firstLine="0"/>
        <w:jc w:val="left"/>
      </w:pP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1" w:history="1">
          <w:r>
            <w:rPr>
              <w:rStyle w:val="Hyperlink"/>
            </w:rPr>
            <w:t>организации, осуществляющей образовательную деятельность, в том числе</w:t>
          </w:r>
        </w:hyperlink>
      </w:r>
    </w:p>
    <w:p>
      <w:pPr>
        <w:autoSpaceDN w:val="0"/>
        <w:autoSpaceDE w:val="0"/>
        <w:widowControl/>
        <w:spacing w:line="240" w:lineRule="auto" w:before="66" w:after="0"/>
        <w:ind w:left="828" w:right="0" w:firstLine="0"/>
        <w:jc w:val="left"/>
      </w:pP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1" w:history="1">
          <w:r>
            <w:rPr>
              <w:rStyle w:val="Hyperlink"/>
            </w:rPr>
            <w:t>средств, полученных от приносящей доход деятельности, добровольных</w:t>
          </w:r>
        </w:hyperlink>
      </w:r>
    </w:p>
    <w:p>
      <w:pPr>
        <w:autoSpaceDN w:val="0"/>
        <w:autoSpaceDE w:val="0"/>
        <w:widowControl/>
        <w:spacing w:line="240" w:lineRule="auto" w:before="50" w:after="0"/>
        <w:ind w:left="828" w:right="0" w:firstLine="0"/>
        <w:jc w:val="left"/>
      </w:pP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1" w:history="1">
          <w:r>
            <w:rPr>
              <w:rStyle w:val="Hyperlink"/>
            </w:rPr>
            <w:t>пожертвований и целевых взносов физических и (или) юридических лиц"</w:t>
          </w:r>
        </w:hyperlink>
      </w:r>
    </w:p>
    <w:p>
      <w:pPr>
        <w:autoSpaceDN w:val="0"/>
        <w:autoSpaceDE w:val="0"/>
        <w:widowControl/>
        <w:spacing w:line="240" w:lineRule="auto" w:before="260" w:after="0"/>
        <w:ind w:left="828" w:right="0" w:firstLine="0"/>
        <w:jc w:val="left"/>
      </w:pP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5" w:history="1">
          <w:r>
            <w:rPr>
              <w:rStyle w:val="Hyperlink"/>
            </w:rPr>
            <w:t>Регламент организации перехода студентов Национального</w:t>
          </w:r>
        </w:hyperlink>
      </w:r>
    </w:p>
    <w:p>
      <w:pPr>
        <w:autoSpaceDN w:val="0"/>
        <w:autoSpaceDE w:val="0"/>
        <w:widowControl/>
        <w:spacing w:line="240" w:lineRule="auto" w:before="50" w:after="0"/>
        <w:ind w:left="828" w:right="0" w:firstLine="0"/>
        <w:jc w:val="left"/>
      </w:pP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5" w:history="1">
          <w:r>
            <w:rPr>
              <w:rStyle w:val="Hyperlink"/>
            </w:rPr>
            <w:t>исследовательского университета «Высшая школа экономики» (Москва) с</w:t>
          </w:r>
        </w:hyperlink>
      </w:r>
    </w:p>
    <w:p>
      <w:pPr>
        <w:autoSpaceDN w:val="0"/>
        <w:autoSpaceDE w:val="0"/>
        <w:widowControl/>
        <w:spacing w:line="240" w:lineRule="auto" w:before="66" w:after="26"/>
        <w:ind w:left="828" w:right="0" w:firstLine="0"/>
        <w:jc w:val="left"/>
      </w:pP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5" w:history="1">
          <w:r>
            <w:rPr>
              <w:rStyle w:val="Hyperlink"/>
            </w:rPr>
            <w:t>платного обучения на обучение за счет бюджетных ассигнований</w:t>
          </w:r>
        </w:hyperlink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3.9999999999999" w:type="dxa"/>
      </w:tblPr>
      <w:tblGrid>
        <w:gridCol w:w="5412"/>
        <w:gridCol w:w="5412"/>
      </w:tblGrid>
      <w:tr>
        <w:trPr>
          <w:trHeight w:hRule="exact" w:val="476"/>
        </w:trPr>
        <w:tc>
          <w:tcPr>
            <w:tcW w:type="dxa" w:w="10200"/>
            <w:gridSpan w:val="2"/>
            <w:tcBorders/>
            <w:shd w:fill="00009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524" w:right="0" w:firstLine="0"/>
              <w:jc w:val="left"/>
            </w:pP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25" w:history="1">
                <w:r>
                  <w:rPr>
                    <w:rStyle w:val="Hyperlink"/>
                  </w:rPr>
                  <w:t>федерального бюджета или за счет собственных средств университета</w:t>
                </w:r>
              </w:hyperlink>
            </w:r>
          </w:p>
        </w:tc>
      </w:tr>
      <w:tr>
        <w:trPr>
          <w:trHeight w:hRule="exact" w:val="514"/>
        </w:trPr>
        <w:tc>
          <w:tcPr>
            <w:tcW w:type="dxa" w:w="844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4" w:after="0"/>
              <w:ind w:left="0" w:right="2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876300</wp:posOffset>
                  </wp:positionH>
                  <wp:positionV relativeFrom="page">
                    <wp:posOffset>2694940</wp:posOffset>
                  </wp:positionV>
                  <wp:extent cx="190500" cy="172720"/>
                  <wp:wrapNone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7272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9356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50" w:after="0"/>
              <w:ind w:left="56" w:right="0" w:firstLine="0"/>
              <w:jc w:val="left"/>
            </w:pP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28" w:history="1">
                <w:r>
                  <w:rPr>
                    <w:rStyle w:val="Hyperlink"/>
                  </w:rPr>
                  <w:t>Регламент организации перехода студентов НИУ ВШЭ – Санкт-Петербург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240" w:lineRule="auto" w:before="26" w:after="0"/>
        <w:ind w:left="828" w:right="0" w:firstLine="0"/>
        <w:jc w:val="left"/>
      </w:pP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8" w:history="1">
          <w:r>
            <w:rPr>
              <w:rStyle w:val="Hyperlink"/>
            </w:rPr>
            <w:t>с платного обучения на бесплатное</w:t>
          </w:r>
        </w:hyperlink>
      </w:r>
    </w:p>
    <w:p>
      <w:pPr>
        <w:autoSpaceDN w:val="0"/>
        <w:autoSpaceDE w:val="0"/>
        <w:widowControl/>
        <w:spacing w:line="240" w:lineRule="auto" w:before="262" w:after="0"/>
        <w:ind w:left="828" w:right="0" w:firstLine="0"/>
        <w:jc w:val="left"/>
      </w:pP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9" w:history="1">
          <w:r>
            <w:rPr>
              <w:rStyle w:val="Hyperlink"/>
            </w:rPr>
            <w:t>Регламент организации перехода студентов Национального</w:t>
          </w:r>
        </w:hyperlink>
      </w:r>
    </w:p>
    <w:p>
      <w:pPr>
        <w:autoSpaceDN w:val="0"/>
        <w:autoSpaceDE w:val="0"/>
        <w:widowControl/>
        <w:spacing w:line="240" w:lineRule="auto" w:before="66" w:after="0"/>
        <w:ind w:left="0" w:right="0" w:firstLine="0"/>
        <w:jc w:val="center"/>
      </w:pP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9" w:history="1">
          <w:r>
            <w:rPr>
              <w:rStyle w:val="Hyperlink"/>
            </w:rPr>
            <w:t>исследовательского университета «Высшая школа экономики», обучающихся</w:t>
          </w:r>
        </w:hyperlink>
      </w:r>
    </w:p>
    <w:p>
      <w:pPr>
        <w:autoSpaceDN w:val="0"/>
        <w:autoSpaceDE w:val="0"/>
        <w:widowControl/>
        <w:spacing w:line="240" w:lineRule="auto" w:before="50" w:after="0"/>
        <w:ind w:left="828" w:right="0" w:firstLine="0"/>
        <w:jc w:val="left"/>
      </w:pP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9" w:history="1">
          <w:r>
            <w:rPr>
              <w:rStyle w:val="Hyperlink"/>
            </w:rPr>
            <w:t>в НИУ ВШЭ – Нижний Новгород, с платного обучения на обучение за счет</w:t>
          </w:r>
        </w:hyperlink>
      </w:r>
    </w:p>
    <w:p>
      <w:pPr>
        <w:autoSpaceDN w:val="0"/>
        <w:autoSpaceDE w:val="0"/>
        <w:widowControl/>
        <w:spacing w:line="240" w:lineRule="auto" w:before="50" w:after="0"/>
        <w:ind w:left="828" w:right="0" w:firstLine="0"/>
        <w:jc w:val="left"/>
      </w:pP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9" w:history="1">
          <w:r>
            <w:rPr>
              <w:rStyle w:val="Hyperlink"/>
            </w:rPr>
            <w:t>бюджетных ассигнований федерального бюджета или за счет собственных</w:t>
          </w:r>
        </w:hyperlink>
      </w:r>
    </w:p>
    <w:p>
      <w:pPr>
        <w:autoSpaceDN w:val="0"/>
        <w:autoSpaceDE w:val="0"/>
        <w:widowControl/>
        <w:spacing w:line="240" w:lineRule="auto" w:before="66" w:after="0"/>
        <w:ind w:left="828" w:right="0" w:firstLine="0"/>
        <w:jc w:val="left"/>
      </w:pP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9" w:history="1">
          <w:r>
            <w:rPr>
              <w:rStyle w:val="Hyperlink"/>
            </w:rPr>
            <w:t>средств университета</w:t>
          </w:r>
        </w:hyperlink>
      </w:r>
    </w:p>
    <w:p>
      <w:pPr>
        <w:autoSpaceDN w:val="0"/>
        <w:autoSpaceDE w:val="0"/>
        <w:widowControl/>
        <w:spacing w:line="240" w:lineRule="auto" w:before="262" w:after="26"/>
        <w:ind w:left="828" w:right="0" w:firstLine="0"/>
        <w:jc w:val="left"/>
      </w:pP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30" w:history="1">
          <w:r>
            <w:rPr>
              <w:rStyle w:val="Hyperlink"/>
            </w:rPr>
            <w:t>Регламент организации, условий и порядка перехода студентов НИУ ВШЭ –</w:t>
          </w:r>
        </w:hyperlink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3.9999999999999" w:type="dxa"/>
      </w:tblPr>
      <w:tblGrid>
        <w:gridCol w:w="10824"/>
      </w:tblGrid>
      <w:tr>
        <w:trPr>
          <w:trHeight w:hRule="exact" w:val="1126"/>
        </w:trPr>
        <w:tc>
          <w:tcPr>
            <w:tcW w:type="dxa" w:w="10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524" w:right="0" w:firstLine="0"/>
              <w:jc w:val="left"/>
            </w:pP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30" w:history="1">
                <w:r>
                  <w:rPr>
                    <w:rStyle w:val="Hyperlink"/>
                  </w:rPr>
                  <w:t xml:space="preserve"> Пермь переход студентов с платного обучения на бесплатное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245" w:lineRule="auto" w:before="662" w:after="158"/>
        <w:ind w:left="304" w:right="288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3"/>
        </w:rPr>
        <w:t>Перевод на бесплатное обучение участников СВО, их детей или</w:t>
      </w:r>
      <w:r>
        <w:rPr>
          <w:rFonts w:ascii="Segoe UI Semibold" w:hAnsi="Segoe UI Semibold" w:eastAsia="Segoe UI Semibold"/>
          <w:b/>
          <w:i w:val="0"/>
          <w:color w:val="000000"/>
          <w:sz w:val="33"/>
        </w:rPr>
        <w:t>близких родственников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824"/>
      </w:tblGrid>
      <w:tr>
        <w:trPr>
          <w:trHeight w:hRule="exact" w:val="1334"/>
        </w:trPr>
        <w:tc>
          <w:tcPr>
            <w:tcW w:type="dxa" w:w="10804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920" w:after="0"/>
              <w:ind w:left="82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Участники СВО, их дети и иные близкие родственники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 имеют право</w:t>
            </w:r>
            <w:r>
              <w:rPr>
                <w:w w:val="98.52272380482067"/>
                <w:rFonts w:ascii="Segoe UI" w:hAnsi="Segoe UI" w:eastAsia="Segoe UI"/>
                <w:b w:val="0"/>
                <w:i w:val="0"/>
                <w:color w:val="000000"/>
                <w:sz w:val="22"/>
              </w:rPr>
              <w:t>*</w:t>
            </w:r>
          </w:p>
        </w:tc>
      </w:tr>
    </w:tbl>
    <w:p>
      <w:pPr>
        <w:autoSpaceDN w:val="0"/>
        <w:autoSpaceDE w:val="0"/>
        <w:widowControl/>
        <w:spacing w:line="240" w:lineRule="auto" w:before="24" w:after="0"/>
        <w:ind w:left="828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претендовать на перевод на бесплатное обучение, включая места за счет</w:t>
      </w:r>
    </w:p>
    <w:p>
      <w:pPr>
        <w:autoSpaceDN w:val="0"/>
        <w:autoSpaceDE w:val="0"/>
        <w:widowControl/>
        <w:spacing w:line="240" w:lineRule="auto" w:before="66" w:after="26"/>
        <w:ind w:left="828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средств НИУ ВШЭ, в рамках кампании по переводу с платного обучения на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3.9999999999999" w:type="dxa"/>
      </w:tblPr>
      <w:tblGrid>
        <w:gridCol w:w="10824"/>
      </w:tblGrid>
      <w:tr>
        <w:trPr>
          <w:trHeight w:hRule="exact" w:val="424"/>
        </w:trPr>
        <w:tc>
          <w:tcPr>
            <w:tcW w:type="dxa" w:w="10200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524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бесплатное.</w:t>
            </w:r>
          </w:p>
        </w:tc>
      </w:tr>
    </w:tbl>
    <w:p>
      <w:pPr>
        <w:autoSpaceDN w:val="0"/>
        <w:autoSpaceDE w:val="0"/>
        <w:widowControl/>
        <w:spacing w:line="16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3.9999999999999" w:type="dxa"/>
      </w:tblPr>
      <w:tblGrid>
        <w:gridCol w:w="10824"/>
      </w:tblGrid>
      <w:tr>
        <w:trPr>
          <w:trHeight w:hRule="exact" w:val="318"/>
        </w:trPr>
        <w:tc>
          <w:tcPr>
            <w:tcW w:type="dxa" w:w="10200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524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000000"/>
                <w:sz w:val="15"/>
              </w:rPr>
              <w:t>* Иными близкими родственниками участника СВО признаются супруг (супруга) участника специальной военной операции,</w:t>
            </w:r>
          </w:p>
        </w:tc>
      </w:tr>
    </w:tbl>
    <w:p>
      <w:pPr>
        <w:autoSpaceDN w:val="0"/>
        <w:autoSpaceDE w:val="0"/>
        <w:widowControl/>
        <w:spacing w:line="7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3.9999999999999" w:type="dxa"/>
      </w:tblPr>
      <w:tblGrid>
        <w:gridCol w:w="10824"/>
      </w:tblGrid>
      <w:tr>
        <w:trPr>
          <w:trHeight w:hRule="exact" w:val="318"/>
        </w:trPr>
        <w:tc>
          <w:tcPr>
            <w:tcW w:type="dxa" w:w="1020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524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000000"/>
                <w:sz w:val="15"/>
              </w:rPr>
              <w:t>родители (усыновители), полнородные и неполнородные братья и сестры, представившие документ (-ы), подтверждающий (-е)</w:t>
            </w:r>
          </w:p>
        </w:tc>
      </w:tr>
    </w:tbl>
    <w:p>
      <w:pPr>
        <w:autoSpaceDN w:val="0"/>
        <w:autoSpaceDE w:val="0"/>
        <w:widowControl/>
        <w:spacing w:line="7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8.0" w:type="dxa"/>
      </w:tblPr>
      <w:tblGrid>
        <w:gridCol w:w="10824"/>
      </w:tblGrid>
      <w:tr>
        <w:trPr>
          <w:trHeight w:hRule="exact" w:val="318"/>
        </w:trPr>
        <w:tc>
          <w:tcPr>
            <w:tcW w:type="dxa" w:w="984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420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000000"/>
                <w:sz w:val="15"/>
              </w:rPr>
              <w:t xml:space="preserve"> факт заключения брака, родства или усыновления, и справку, выданную члену семьи участника СВО по форме, установленной</w:t>
            </w:r>
          </w:p>
        </w:tc>
      </w:tr>
    </w:tbl>
    <w:p>
      <w:pPr>
        <w:autoSpaceDN w:val="0"/>
        <w:autoSpaceDE w:val="0"/>
        <w:widowControl/>
        <w:spacing w:line="8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8.0" w:type="dxa"/>
      </w:tblPr>
      <w:tblGrid>
        <w:gridCol w:w="10824"/>
      </w:tblGrid>
      <w:tr>
        <w:trPr>
          <w:trHeight w:hRule="exact" w:val="300"/>
        </w:trPr>
        <w:tc>
          <w:tcPr>
            <w:tcW w:type="dxa" w:w="99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000000"/>
                <w:sz w:val="15"/>
              </w:rPr>
              <w:t xml:space="preserve">Правительством Российской Федерации. </w:t>
            </w: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15"/>
              </w:rPr>
              <w:t>Документы, подтверждающие участие в СВО (</w:t>
            </w:r>
            <w:r>
              <w:rPr>
                <w:rFonts w:ascii="Segoe UI" w:hAnsi="Segoe UI" w:eastAsia="Segoe UI"/>
                <w:b w:val="0"/>
                <w:i w:val="0"/>
                <w:color w:val="000000"/>
                <w:sz w:val="15"/>
              </w:rPr>
              <w:t>с</w:t>
            </w: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15"/>
              </w:rPr>
              <w:t>правка о подтверждении факта участия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8" w:h="16858"/>
          <w:pgMar w:top="0" w:right="542" w:bottom="66" w:left="5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2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824"/>
      </w:tblGrid>
      <w:tr>
        <w:trPr>
          <w:trHeight w:hRule="exact" w:val="858"/>
        </w:trPr>
        <w:tc>
          <w:tcPr>
            <w:tcW w:type="dxa" w:w="10804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0" w:after="0"/>
              <w:ind w:left="0" w:right="0" w:firstLine="0"/>
              <w:jc w:val="center"/>
            </w:pP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15"/>
              </w:rPr>
              <w:t>в СВО, выданную по форме, установленной Правительством Российской Федерации) и/или родство с участником СВО должны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70.0" w:type="dxa"/>
      </w:tblPr>
      <w:tblGrid>
        <w:gridCol w:w="10824"/>
      </w:tblGrid>
      <w:tr>
        <w:trPr>
          <w:trHeight w:hRule="exact" w:val="1530"/>
        </w:trPr>
        <w:tc>
          <w:tcPr>
            <w:tcW w:type="dxa" w:w="10066"/>
            <w:tcBorders>
              <w:bottom w:sz="6.0" w:val="single" w:color="#EFEFE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458" w:right="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15"/>
              </w:rPr>
              <w:t xml:space="preserve">быть приложены к заявке в </w:t>
            </w:r>
            <w:r>
              <w:rPr>
                <w:w w:val="98.52272380482067"/>
                <w:rFonts w:ascii="Segoe UI Semibold" w:hAnsi="Segoe UI Semibold" w:eastAsia="Segoe UI Semibold"/>
                <w:b/>
                <w:i w:val="0"/>
                <w:color w:val="007AC5"/>
                <w:sz w:val="22"/>
              </w:rPr>
              <w:hyperlink r:id="rId24" w:history="1">
                <w:r>
                  <w:rPr>
                    <w:rStyle w:val="Hyperlink"/>
                  </w:rPr>
                  <w:t>ЯУчусь</w:t>
                </w:r>
              </w:hyperlink>
            </w:r>
            <w:r>
              <w:rPr>
                <w:w w:val="98.52272380482067"/>
                <w:rFonts w:ascii="Segoe UI Semibold" w:hAnsi="Segoe UI Semibold" w:eastAsia="Segoe UI Semibold"/>
                <w:b/>
                <w:i w:val="0"/>
                <w:color w:val="000000"/>
                <w:sz w:val="22"/>
              </w:rPr>
              <w:t xml:space="preserve"> (istudy.hse.ru)</w:t>
            </w: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15"/>
              </w:rPr>
              <w:t xml:space="preserve">.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3.9999999999999" w:type="dxa"/>
      </w:tblPr>
      <w:tblGrid>
        <w:gridCol w:w="10824"/>
      </w:tblGrid>
      <w:tr>
        <w:trPr>
          <w:trHeight w:hRule="exact" w:val="2426"/>
        </w:trPr>
        <w:tc>
          <w:tcPr>
            <w:tcW w:type="dxa" w:w="3254"/>
            <w:tcBorders>
              <w:top w:sz="5.600000000000023" w:val="single" w:color="#0079C4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56" w:after="0"/>
              <w:ind w:left="524" w:right="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Важно</w:t>
            </w:r>
          </w:p>
        </w:tc>
      </w:tr>
    </w:tbl>
    <w:p>
      <w:pPr>
        <w:autoSpaceDN w:val="0"/>
        <w:autoSpaceDE w:val="0"/>
        <w:widowControl/>
        <w:spacing w:line="276" w:lineRule="auto" w:before="146" w:after="32"/>
        <w:ind w:left="828" w:right="1008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Студенты, относя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hyperlink r:id="rId24" w:history="1">
          <w:r>
            <w:rPr>
              <w:rStyle w:val="Hyperlink"/>
            </w:rPr>
            <w:t>щийся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к категориям: дети-сироты и дети, оставшиеся без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попечения родителей; граждане в возрасте до двадцати лет, имеющие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только одного родителя - инвалида I группы, если среднедушевой доход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семьи ниже величины прожиточного минимума, установленного в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соответствующем субъекте Российской Федерации; женщины, родившие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ребенка в период обучения; дети лиц, принимающих или принимавших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участие в СВО; утрата студентом в период обучения одного или обоих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родителей (законных представителей) или единственного родителя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(законного представителя); наличие статуса участника СВО; наличия статуса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иных близких родственников участника СВО, могут подать заявку через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70.0" w:type="dxa"/>
      </w:tblPr>
      <w:tblGrid>
        <w:gridCol w:w="10824"/>
      </w:tblGrid>
      <w:tr>
        <w:trPr>
          <w:trHeight w:hRule="exact" w:val="1128"/>
        </w:trPr>
        <w:tc>
          <w:tcPr>
            <w:tcW w:type="dxa" w:w="10066"/>
            <w:tcBorders>
              <w:bottom w:sz="6.0" w:val="single" w:color="#EFEFE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45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специальный модуль при отсутствии вакантных бесплатных мест. </w:t>
            </w:r>
          </w:p>
        </w:tc>
      </w:tr>
    </w:tbl>
    <w:p>
      <w:pPr>
        <w:autoSpaceDN w:val="0"/>
        <w:autoSpaceDE w:val="0"/>
        <w:widowControl/>
        <w:spacing w:line="45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824"/>
      </w:tblGrid>
      <w:tr>
        <w:trPr>
          <w:trHeight w:hRule="exact" w:val="1942"/>
        </w:trPr>
        <w:tc>
          <w:tcPr>
            <w:tcW w:type="dxa" w:w="1080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930" w:after="0"/>
              <w:ind w:left="828" w:right="1872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Критерии перехода на бесплатные места для</w:t>
            </w: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участников СВО и их близких родственников</w:t>
            </w:r>
          </w:p>
        </w:tc>
      </w:tr>
    </w:tbl>
    <w:p>
      <w:pPr>
        <w:autoSpaceDN w:val="0"/>
        <w:autoSpaceDE w:val="0"/>
        <w:widowControl/>
        <w:spacing w:line="240" w:lineRule="auto" w:before="156" w:after="26"/>
        <w:ind w:left="828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Студент может претендовать на перевод на бесплатное место при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412"/>
        <w:gridCol w:w="5412"/>
      </w:tblGrid>
      <w:tr>
        <w:trPr>
          <w:trHeight w:hRule="exact" w:val="486"/>
        </w:trPr>
        <w:tc>
          <w:tcPr>
            <w:tcW w:type="dxa" w:w="10804"/>
            <w:gridSpan w:val="2"/>
            <w:tcBorders/>
            <w:shd w:fill="00009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82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соблюдении следующих условий: </w:t>
            </w:r>
          </w:p>
        </w:tc>
      </w:tr>
      <w:tr>
        <w:trPr>
          <w:trHeight w:hRule="exact" w:val="504"/>
        </w:trPr>
        <w:tc>
          <w:tcPr>
            <w:tcW w:type="dxa" w:w="1748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0" w:after="0"/>
              <w:ind w:left="0" w:right="0" w:firstLine="0"/>
              <w:jc w:val="righ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— </w:t>
            </w:r>
          </w:p>
        </w:tc>
        <w:tc>
          <w:tcPr>
            <w:tcW w:type="dxa" w:w="9056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0" w:after="0"/>
              <w:ind w:left="6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является участником СВО / ребенком или близким родственником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3.9999999999999" w:type="dxa"/>
      </w:tblPr>
      <w:tblGrid>
        <w:gridCol w:w="5412"/>
        <w:gridCol w:w="5412"/>
      </w:tblGrid>
      <w:tr>
        <w:trPr>
          <w:trHeight w:hRule="exact" w:val="476"/>
        </w:trPr>
        <w:tc>
          <w:tcPr>
            <w:tcW w:type="dxa" w:w="10200"/>
            <w:gridSpan w:val="2"/>
            <w:tcBorders/>
            <w:shd w:fill="00009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1124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(супруги / родные братья и сестры) участника СВО;</w:t>
            </w:r>
          </w:p>
        </w:tc>
      </w:tr>
      <w:tr>
        <w:trPr>
          <w:trHeight w:hRule="exact" w:val="508"/>
        </w:trPr>
        <w:tc>
          <w:tcPr>
            <w:tcW w:type="dxa" w:w="1444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0" w:right="0" w:firstLine="0"/>
              <w:jc w:val="righ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— </w:t>
            </w:r>
          </w:p>
        </w:tc>
        <w:tc>
          <w:tcPr>
            <w:tcW w:type="dxa" w:w="8756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6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не имеет академических задолженностей и не обучается в связи с</w:t>
            </w:r>
          </w:p>
        </w:tc>
      </w:tr>
    </w:tbl>
    <w:p>
      <w:pPr>
        <w:autoSpaceDN w:val="0"/>
        <w:autoSpaceDE w:val="0"/>
        <w:widowControl/>
        <w:spacing w:line="240" w:lineRule="auto" w:before="32" w:after="26"/>
        <w:ind w:left="1428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этим по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31" w:history="1">
          <w:r>
            <w:rPr>
              <w:rStyle w:val="Hyperlink"/>
            </w:rPr>
            <w:t>индивидуальному учебному плану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специального типа с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3.9999999999999" w:type="dxa"/>
      </w:tblPr>
      <w:tblGrid>
        <w:gridCol w:w="5412"/>
        <w:gridCol w:w="5412"/>
      </w:tblGrid>
      <w:tr>
        <w:trPr>
          <w:trHeight w:hRule="exact" w:val="476"/>
        </w:trPr>
        <w:tc>
          <w:tcPr>
            <w:tcW w:type="dxa" w:w="102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1124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повторным изучением ряда дисциплин;</w:t>
            </w:r>
          </w:p>
        </w:tc>
      </w:tr>
      <w:tr>
        <w:trPr>
          <w:trHeight w:hRule="exact" w:val="1424"/>
        </w:trPr>
        <w:tc>
          <w:tcPr>
            <w:tcW w:type="dxa" w:w="144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0" w:right="0" w:firstLine="0"/>
              <w:jc w:val="righ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— </w:t>
            </w:r>
          </w:p>
        </w:tc>
        <w:tc>
          <w:tcPr>
            <w:tcW w:type="dxa" w:w="87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6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не имеет дисциплинарных взысканий;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8" w:h="16858"/>
          <w:pgMar w:top="0" w:right="542" w:bottom="66" w:left="5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2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824"/>
      </w:tblGrid>
      <w:tr>
        <w:trPr>
          <w:trHeight w:hRule="exact" w:val="2056"/>
        </w:trPr>
        <w:tc>
          <w:tcPr>
            <w:tcW w:type="dxa" w:w="10804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0804"/>
            </w:tblGrid>
            <w:tr>
              <w:trPr>
                <w:trHeight w:hRule="exact" w:val="2036"/>
              </w:trPr>
              <w:tc>
                <w:tcPr>
                  <w:tcW w:type="dxa" w:w="10804"/>
                  <w:tcBorders/>
                  <w:shd w:fill="00009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52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303.9999999999999" w:type="dxa"/>
                  </w:tblPr>
                  <w:tblGrid>
                    <w:gridCol w:w="10804"/>
                  </w:tblGrid>
                  <w:tr>
                    <w:trPr>
                      <w:trHeight w:hRule="exact" w:val="1104"/>
                    </w:trPr>
                    <w:tc>
                      <w:tcPr>
                        <w:tcW w:type="dxa" w:w="10200"/>
                        <w:tcBorders/>
                        <w:shd w:fill="efefe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24" w:after="0"/>
                          <w:ind w:left="1124" w:right="0" w:firstLine="0"/>
                          <w:jc w:val="left"/>
                        </w:pPr>
                        <w:r>
                          <w:rPr>
                            <w:w w:val="98.07692307692307"/>
                            <w:rFonts w:ascii="Segoe UI" w:hAnsi="Segoe UI" w:eastAsia="Segoe UI"/>
                            <w:b w:val="0"/>
                            <w:i w:val="0"/>
                            <w:color w:val="000000"/>
                            <w:sz w:val="26"/>
                          </w:rPr>
                          <w:t xml:space="preserve">— не имеет задолженности по </w:t>
                        </w:r>
                        <w:r>
                          <w:rPr>
                            <w:u w:val="single" w:color="0079c4"/>
                            <w:w w:val="98.07692307692307"/>
                            <w:rFonts w:ascii="Segoe UI" w:hAnsi="Segoe UI" w:eastAsia="Segoe UI"/>
                            <w:b w:val="0"/>
                            <w:i w:val="0"/>
                            <w:color w:val="007AC5"/>
                            <w:sz w:val="26"/>
                          </w:rPr>
                          <w:hyperlink r:id="rId23" w:history="1">
                            <w:r>
                              <w:rPr>
                                <w:rStyle w:val="Hyperlink"/>
                              </w:rPr>
                              <w:t>оплате обучения</w:t>
                            </w:r>
                          </w:hyperlink>
                        </w:r>
                        <w:r>
                          <w:rPr>
                            <w:w w:val="98.07692307692307"/>
                            <w:rFonts w:ascii="Segoe UI" w:hAnsi="Segoe UI" w:eastAsia="Segoe UI"/>
                            <w:b w:val="0"/>
                            <w:i w:val="0"/>
                            <w:color w:val="000000"/>
                            <w:sz w:val="26"/>
                          </w:rPr>
                          <w:t>.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3492"/>
        </w:trPr>
        <w:tc>
          <w:tcPr>
            <w:tcW w:type="dxa" w:w="1080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768" w:val="left"/>
                <w:tab w:pos="828" w:val="left"/>
              </w:tabs>
              <w:autoSpaceDE w:val="0"/>
              <w:widowControl/>
              <w:spacing w:line="245" w:lineRule="auto" w:before="282" w:after="0"/>
              <w:ind w:left="304" w:right="7056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3"/>
              </w:rPr>
              <w:t>Процедура перевода</w:t>
            </w:r>
            <w:r>
              <w:br/>
            </w:r>
            <w:r>
              <w:tab/>
            </w:r>
            <w:r>
              <w:rPr>
                <w:rFonts w:ascii="HSE Sans" w:hAnsi="HSE Sans" w:eastAsia="HSE Sans"/>
                <w:b/>
                <w:i w:val="0"/>
                <w:color w:val="003399"/>
                <w:sz w:val="219"/>
              </w:rPr>
              <w:t>1.</w:t>
            </w: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Подайте заявку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142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корпоративной почте через ЕЛК) НИУ ВШЭ доступен модуль «Заявка на</w:t>
            </w:r>
          </w:p>
          <w:p>
            <w:pPr>
              <w:autoSpaceDN w:val="0"/>
              <w:tabs>
                <w:tab w:pos="1754" w:val="left"/>
              </w:tabs>
              <w:autoSpaceDE w:val="0"/>
              <w:widowControl/>
              <w:spacing w:line="396" w:lineRule="auto" w:before="0" w:after="0"/>
              <w:ind w:left="1428" w:right="864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переход на бесплатное место», через который студенты, обучающиеся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В личном кабинете в системе 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t>ЯУчусь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 (авторизаться по</w:t>
            </w:r>
          </w:p>
        </w:tc>
      </w:tr>
    </w:tbl>
    <w:p>
      <w:pPr>
        <w:autoSpaceDN w:val="0"/>
        <w:autoSpaceDE w:val="0"/>
        <w:widowControl/>
        <w:spacing w:line="240" w:lineRule="auto" w:before="8" w:after="0"/>
        <w:ind w:left="0" w:right="0" w:firstLine="0"/>
        <w:jc w:val="center"/>
      </w:pPr>
      <w:r>
        <w:rPr>
          <w:shd w:val="clear" w:color="auto" w:fill="000095"/>
          <w:w w:val="98.07692307692307"/>
          <w:rFonts w:ascii="Segoe UI" w:hAnsi="Segoe UI" w:eastAsia="Segoe UI"/>
          <w:b w:val="0"/>
          <w:i w:val="0"/>
          <w:color w:val="000000"/>
          <w:sz w:val="26"/>
        </w:rPr>
        <w:t>на коммерческой основе, должны оформлять заявки на перевод на</w:t>
      </w:r>
    </w:p>
    <w:p>
      <w:pPr>
        <w:autoSpaceDN w:val="0"/>
        <w:autoSpaceDE w:val="0"/>
        <w:widowControl/>
        <w:spacing w:line="240" w:lineRule="auto" w:before="52" w:after="0"/>
        <w:ind w:left="1428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бесплатное обучение.</w:t>
      </w:r>
    </w:p>
    <w:p>
      <w:pPr>
        <w:autoSpaceDN w:val="0"/>
        <w:autoSpaceDE w:val="0"/>
        <w:widowControl/>
        <w:spacing w:line="240" w:lineRule="auto" w:before="246" w:after="0"/>
        <w:ind w:left="1428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— 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Прикрепите к заявке в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4" w:history="1">
          <w:r>
            <w:rPr>
              <w:rStyle w:val="Hyperlink"/>
            </w:rPr>
            <w:t>ЯУчусь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документы, подтверждающие участие</w:t>
      </w:r>
    </w:p>
    <w:p>
      <w:pPr>
        <w:autoSpaceDN w:val="0"/>
        <w:autoSpaceDE w:val="0"/>
        <w:widowControl/>
        <w:spacing w:line="240" w:lineRule="auto" w:before="50" w:after="0"/>
        <w:ind w:left="1428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в СВО и/или родство с участником СВО.</w:t>
      </w:r>
    </w:p>
    <w:p>
      <w:pPr>
        <w:autoSpaceDN w:val="0"/>
        <w:autoSpaceDE w:val="0"/>
        <w:widowControl/>
        <w:spacing w:line="240" w:lineRule="auto" w:before="260" w:after="24"/>
        <w:ind w:left="1428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— 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Сроки подачи заявок в НИУ ВШЭ установлены: в течение семи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824"/>
      </w:tblGrid>
      <w:tr>
        <w:trPr>
          <w:trHeight w:hRule="exact" w:val="7476"/>
        </w:trPr>
        <w:tc>
          <w:tcPr>
            <w:tcW w:type="dxa" w:w="1080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142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календарных дней с даты начала кампании (включительно).</w:t>
            </w:r>
          </w:p>
          <w:p>
            <w:pPr>
              <w:autoSpaceDN w:val="0"/>
              <w:autoSpaceDE w:val="0"/>
              <w:widowControl/>
              <w:spacing w:line="240" w:lineRule="auto" w:before="704" w:after="0"/>
              <w:ind w:left="768" w:right="0" w:firstLine="0"/>
              <w:jc w:val="left"/>
            </w:pPr>
            <w:r>
              <w:rPr>
                <w:rFonts w:ascii="HSE Sans" w:hAnsi="HSE Sans" w:eastAsia="HSE Sans"/>
                <w:b/>
                <w:i w:val="0"/>
                <w:color w:val="003399"/>
                <w:sz w:val="219"/>
              </w:rPr>
              <w:t>2.</w:t>
            </w: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Дождитесь результатов верификации документов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Центр сервиса «Студент» совместно с Дирекцией по сопровождению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82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особых категорий студентов проверит основание для перевода. </w:t>
            </w:r>
          </w:p>
          <w:p>
            <w:pPr>
              <w:autoSpaceDN w:val="0"/>
              <w:autoSpaceDE w:val="0"/>
              <w:widowControl/>
              <w:spacing w:line="240" w:lineRule="auto" w:before="704" w:after="0"/>
              <w:ind w:left="0" w:right="0" w:firstLine="0"/>
              <w:jc w:val="center"/>
            </w:pPr>
            <w:r>
              <w:rPr>
                <w:rFonts w:ascii="HSE Sans" w:hAnsi="HSE Sans" w:eastAsia="HSE Sans"/>
                <w:b/>
                <w:i w:val="0"/>
                <w:color w:val="003399"/>
                <w:sz w:val="219"/>
              </w:rPr>
              <w:t>3.</w:t>
            </w: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Дождитесь выхода решения Комиссии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В результате рассмотрения заявки каждого студента Комиссией принимается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82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одно из следующих решений:</w:t>
            </w:r>
          </w:p>
          <w:p>
            <w:pPr>
              <w:autoSpaceDN w:val="0"/>
              <w:autoSpaceDE w:val="0"/>
              <w:widowControl/>
              <w:spacing w:line="240" w:lineRule="auto" w:before="260" w:after="0"/>
              <w:ind w:left="82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– о переходе студента на обучение на бюджетное место;</w:t>
            </w:r>
          </w:p>
        </w:tc>
      </w:tr>
    </w:tbl>
    <w:p>
      <w:pPr>
        <w:autoSpaceDN w:val="0"/>
        <w:autoSpaceDE w:val="0"/>
        <w:widowControl/>
        <w:spacing w:line="1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3.9999999999999" w:type="dxa"/>
      </w:tblPr>
      <w:tblGrid>
        <w:gridCol w:w="10824"/>
      </w:tblGrid>
      <w:tr>
        <w:trPr>
          <w:trHeight w:hRule="exact" w:val="540"/>
        </w:trPr>
        <w:tc>
          <w:tcPr>
            <w:tcW w:type="dxa" w:w="1020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524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– о переходе студента на обучение за счет средств НИУ ВШЭ 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8" w:h="16858"/>
          <w:pgMar w:top="0" w:right="542" w:bottom="66" w:left="5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2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824"/>
      </w:tblGrid>
      <w:tr>
        <w:trPr>
          <w:trHeight w:hRule="exact" w:val="940"/>
        </w:trPr>
        <w:tc>
          <w:tcPr>
            <w:tcW w:type="dxa" w:w="10804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76" w:after="0"/>
              <w:ind w:left="82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– об отказе в переходе студента на обучение за счет средств бюджетных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3.9999999999999" w:type="dxa"/>
      </w:tblPr>
      <w:tblGrid>
        <w:gridCol w:w="10824"/>
      </w:tblGrid>
      <w:tr>
        <w:trPr>
          <w:trHeight w:hRule="exact" w:val="4310"/>
        </w:trPr>
        <w:tc>
          <w:tcPr>
            <w:tcW w:type="dxa" w:w="10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524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ассигнований либо за счет средств НИУ ВШЭ.</w:t>
            </w:r>
          </w:p>
          <w:p>
            <w:pPr>
              <w:autoSpaceDN w:val="0"/>
              <w:autoSpaceDE w:val="0"/>
              <w:widowControl/>
              <w:spacing w:line="240" w:lineRule="auto" w:before="704" w:after="0"/>
              <w:ind w:left="464" w:right="0" w:firstLine="0"/>
              <w:jc w:val="left"/>
            </w:pPr>
            <w:r>
              <w:rPr>
                <w:rFonts w:ascii="HSE Sans" w:hAnsi="HSE Sans" w:eastAsia="HSE Sans"/>
                <w:b/>
                <w:i w:val="0"/>
                <w:color w:val="003399"/>
                <w:sz w:val="219"/>
              </w:rPr>
              <w:t>4.</w:t>
            </w: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Дата перехода на бесплатное обучение при</w:t>
            </w: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соответствующем решении Комиссии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– с 1 ноября для осенней кампании после периода пересдач;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524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– с 1 февраля для зимней кампании;</w:t>
            </w:r>
          </w:p>
        </w:tc>
      </w:tr>
    </w:tbl>
    <w:p>
      <w:pPr>
        <w:autoSpaceDN w:val="0"/>
        <w:autoSpaceDE w:val="0"/>
        <w:widowControl/>
        <w:spacing w:line="1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8.0" w:type="dxa"/>
      </w:tblPr>
      <w:tblGrid>
        <w:gridCol w:w="10824"/>
      </w:tblGrid>
      <w:tr>
        <w:trPr>
          <w:trHeight w:hRule="exact" w:val="460"/>
        </w:trPr>
        <w:tc>
          <w:tcPr>
            <w:tcW w:type="dxa" w:w="9060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420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– с 1 апреля для весенней кампании после периода пересдач;</w:t>
            </w:r>
          </w:p>
        </w:tc>
      </w:tr>
    </w:tbl>
    <w:p>
      <w:pPr>
        <w:autoSpaceDN w:val="0"/>
        <w:autoSpaceDE w:val="0"/>
        <w:widowControl/>
        <w:spacing w:line="1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70.0" w:type="dxa"/>
      </w:tblPr>
      <w:tblGrid>
        <w:gridCol w:w="10824"/>
      </w:tblGrid>
      <w:tr>
        <w:trPr>
          <w:trHeight w:hRule="exact" w:val="1154"/>
        </w:trPr>
        <w:tc>
          <w:tcPr>
            <w:tcW w:type="dxa" w:w="10066"/>
            <w:tcBorders>
              <w:bottom w:sz="6.0" w:val="single" w:color="#EFEFE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45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– с 1 сентября для летней кампании.</w:t>
            </w:r>
          </w:p>
        </w:tc>
      </w:tr>
    </w:tbl>
    <w:p>
      <w:pPr>
        <w:autoSpaceDN w:val="0"/>
        <w:autoSpaceDE w:val="0"/>
        <w:widowControl/>
        <w:spacing w:line="68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70.0" w:type="dxa"/>
      </w:tblPr>
      <w:tblGrid>
        <w:gridCol w:w="10824"/>
      </w:tblGrid>
      <w:tr>
        <w:trPr>
          <w:trHeight w:hRule="exact" w:val="1372"/>
        </w:trPr>
        <w:tc>
          <w:tcPr>
            <w:tcW w:type="dxa" w:w="10066"/>
            <w:tcBorders>
              <w:bottom w:sz="6.0" w:val="single" w:color="#EFEFE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0" w:right="0" w:firstLine="0"/>
              <w:jc w:val="center"/>
            </w:pP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FFFFFF"/>
                <w:sz w:val="31"/>
              </w:rPr>
              <w:t>Протоколы общеуниверситетской комиссии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3.9999999999999" w:type="dxa"/>
      </w:tblPr>
      <w:tblGrid>
        <w:gridCol w:w="10824"/>
      </w:tblGrid>
      <w:tr>
        <w:trPr>
          <w:trHeight w:hRule="exact" w:val="1940"/>
        </w:trPr>
        <w:tc>
          <w:tcPr>
            <w:tcW w:type="dxa" w:w="1021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78" w:after="0"/>
              <w:ind w:left="524" w:right="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Остались вопросы?</w:t>
            </w:r>
          </w:p>
        </w:tc>
      </w:tr>
    </w:tbl>
    <w:p>
      <w:pPr>
        <w:autoSpaceDN w:val="0"/>
        <w:autoSpaceDE w:val="0"/>
        <w:widowControl/>
        <w:spacing w:line="9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70.0" w:type="dxa"/>
      </w:tblPr>
      <w:tblGrid>
        <w:gridCol w:w="10824"/>
      </w:tblGrid>
      <w:tr>
        <w:trPr>
          <w:trHeight w:hRule="exact" w:val="1154"/>
        </w:trPr>
        <w:tc>
          <w:tcPr>
            <w:tcW w:type="dxa" w:w="10066"/>
            <w:tcBorders>
              <w:bottom w:sz="6.0" w:val="single" w:color="#EFEFE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45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Напишите на почту </w:t>
            </w: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32" w:history="1">
                <w:r>
                  <w:rPr>
                    <w:rStyle w:val="Hyperlink"/>
                  </w:rPr>
                  <w:t>Центра сервиса «Студент»</w:t>
                </w:r>
              </w:hyperlink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: </w:t>
            </w: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33" w:history="1">
                <w:r>
                  <w:rPr>
                    <w:rStyle w:val="Hyperlink"/>
                  </w:rPr>
                  <w:t>studcentre@hse.ru</w:t>
                </w:r>
              </w:hyperlink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32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70.0" w:type="dxa"/>
      </w:tblPr>
      <w:tblGrid>
        <w:gridCol w:w="10824"/>
      </w:tblGrid>
      <w:tr>
        <w:trPr>
          <w:trHeight w:hRule="exact" w:val="1326"/>
        </w:trPr>
        <w:tc>
          <w:tcPr>
            <w:tcW w:type="dxa" w:w="10066"/>
            <w:tcBorders>
              <w:top w:sz="6.0" w:val="single" w:color="#EFEFE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54" w:after="0"/>
              <w:ind w:left="45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Студентам филиалов НИУ ВШЭ (Санкт-Петербург, Нижний Новгород, Пермь)</w:t>
            </w:r>
          </w:p>
        </w:tc>
      </w:tr>
    </w:tbl>
    <w:p>
      <w:pPr>
        <w:autoSpaceDN w:val="0"/>
        <w:autoSpaceDE w:val="0"/>
        <w:widowControl/>
        <w:spacing w:line="240" w:lineRule="auto" w:before="18" w:after="26"/>
        <w:ind w:left="828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необходимо обращаться в учебные офисы своих образовательных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70.0" w:type="dxa"/>
      </w:tblPr>
      <w:tblGrid>
        <w:gridCol w:w="10824"/>
      </w:tblGrid>
      <w:tr>
        <w:trPr>
          <w:trHeight w:hRule="exact" w:val="1098"/>
        </w:trPr>
        <w:tc>
          <w:tcPr>
            <w:tcW w:type="dxa" w:w="10066"/>
            <w:tcBorders>
              <w:bottom w:sz="6.0" w:val="single" w:color="#EFEFE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45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программ.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8" w:h="16858"/>
          <w:pgMar w:top="0" w:right="542" w:bottom="336" w:left="5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419100</wp:posOffset>
            </wp:positionV>
            <wp:extent cx="508000" cy="24130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08000" cy="2413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2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800100</wp:posOffset>
            </wp:positionV>
            <wp:extent cx="1346200" cy="31750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346200" cy="3175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96" w:after="0"/>
        <w:ind w:left="16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543560</wp:posOffset>
            </wp:positionH>
            <wp:positionV relativeFrom="page">
              <wp:posOffset>1305560</wp:posOffset>
            </wp:positionV>
            <wp:extent cx="228600" cy="22860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20" w:after="0"/>
        <w:ind w:left="16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0"/>
        </w:rPr>
        <w:t xml:space="preserve">Нашли </w:t>
      </w:r>
      <w:r>
        <w:rPr>
          <w:rFonts w:ascii="Segoe UI" w:hAnsi="Segoe UI" w:eastAsia="Segoe UI"/>
          <w:b w:val="0"/>
          <w:i w:val="0"/>
          <w:color w:val="F35023"/>
          <w:sz w:val="20"/>
        </w:rPr>
        <w:t>опечатку</w:t>
      </w:r>
      <w:r>
        <w:rPr>
          <w:rFonts w:ascii="Segoe UI" w:hAnsi="Segoe UI" w:eastAsia="Segoe UI"/>
          <w:b w:val="0"/>
          <w:i w:val="0"/>
          <w:color w:val="000000"/>
          <w:sz w:val="20"/>
        </w:rPr>
        <w:t>?</w:t>
      </w:r>
    </w:p>
    <w:p>
      <w:pPr>
        <w:autoSpaceDN w:val="0"/>
        <w:autoSpaceDE w:val="0"/>
        <w:widowControl/>
        <w:spacing w:line="240" w:lineRule="auto" w:before="50" w:after="0"/>
        <w:ind w:left="16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0"/>
        </w:rPr>
        <w:t>Выделите её, нажмите Ctrl+Enter и отправьте нам уведомление. Спасибо за участие!</w:t>
      </w:r>
    </w:p>
    <w:p>
      <w:pPr>
        <w:autoSpaceDN w:val="0"/>
        <w:autoSpaceDE w:val="0"/>
        <w:widowControl/>
        <w:spacing w:line="240" w:lineRule="auto" w:before="36" w:after="0"/>
        <w:ind w:left="16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0"/>
        </w:rPr>
        <w:t>Сервис предназначен только для отправки сообщений об орфографических и пунктуационных ошибках.</w:t>
      </w:r>
    </w:p>
    <w:p>
      <w:pPr>
        <w:autoSpaceDN w:val="0"/>
        <w:autoSpaceDE w:val="0"/>
        <w:widowControl/>
        <w:spacing w:line="360" w:lineRule="auto" w:before="978" w:after="0"/>
        <w:ind w:left="16" w:right="2160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37" w:history="1">
          <w:r>
            <w:rPr>
              <w:rStyle w:val="Hyperlink"/>
            </w:rPr>
            <w:t>О ВЫШКЕ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8" w:history="1">
          <w:r>
            <w:rPr>
              <w:rStyle w:val="Hyperlink"/>
            </w:rPr>
            <w:t>Цифры и факты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9" w:history="1">
          <w:r>
            <w:rPr>
              <w:rStyle w:val="Hyperlink"/>
            </w:rPr>
            <w:t>Руководство и структура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0" w:history="1">
          <w:r>
            <w:rPr>
              <w:rStyle w:val="Hyperlink"/>
            </w:rPr>
            <w:t>Устойчивое развитие в НИУ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1" w:history="1">
          <w:r>
            <w:rPr>
              <w:rStyle w:val="Hyperlink"/>
            </w:rPr>
            <w:t>Преподаватели и сотрудники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2" w:history="1">
          <w:r>
            <w:rPr>
              <w:rStyle w:val="Hyperlink"/>
            </w:rPr>
            <w:t>Корпуса и общежития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3" w:history="1">
          <w:r>
            <w:rPr>
              <w:rStyle w:val="Hyperlink"/>
            </w:rPr>
            <w:t>Закупки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4" w:history="1">
          <w:r>
            <w:rPr>
              <w:rStyle w:val="Hyperlink"/>
            </w:rPr>
            <w:t>Обращения граждан в НИУ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5" w:history="1">
          <w:r>
            <w:rPr>
              <w:rStyle w:val="Hyperlink"/>
            </w:rPr>
            <w:t>Фонд целевого капитала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6" w:history="1">
          <w:r>
            <w:rPr>
              <w:rStyle w:val="Hyperlink"/>
            </w:rPr>
            <w:t>Противодействие коррупции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7" w:history="1">
          <w:r>
            <w:rPr>
              <w:rStyle w:val="Hyperlink"/>
            </w:rPr>
            <w:t>Сведения о доходах, расходах, об имуществе и обязательствах имущественного характера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8" w:history="1">
          <w:r>
            <w:rPr>
              <w:rStyle w:val="Hyperlink"/>
            </w:rPr>
            <w:t>Сведения об образовательной организации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9" w:history="1">
          <w:r>
            <w:rPr>
              <w:rStyle w:val="Hyperlink"/>
            </w:rPr>
            <w:t>Людям с ограниченными возможностями здоровья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0" w:history="1">
          <w:r>
            <w:rPr>
              <w:rStyle w:val="Hyperlink"/>
            </w:rPr>
            <w:t>Единая платежная страница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1" w:history="1">
          <w:r>
            <w:rPr>
              <w:rStyle w:val="Hyperlink"/>
            </w:rPr>
            <w:t>Работа в Вышке</w:t>
          </w:r>
        </w:hyperlink>
      </w:r>
    </w:p>
    <w:p>
      <w:pPr>
        <w:autoSpaceDN w:val="0"/>
        <w:autoSpaceDE w:val="0"/>
        <w:widowControl/>
        <w:spacing w:line="360" w:lineRule="auto" w:before="200" w:after="0"/>
        <w:ind w:left="16" w:right="5184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52" w:history="1">
          <w:r>
            <w:rPr>
              <w:rStyle w:val="Hyperlink"/>
            </w:rPr>
            <w:t>ОБРАЗОВАНИЕ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3" w:history="1">
          <w:r>
            <w:rPr>
              <w:rStyle w:val="Hyperlink"/>
            </w:rPr>
            <w:t>Лицей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4" w:history="1">
          <w:r>
            <w:rPr>
              <w:rStyle w:val="Hyperlink"/>
            </w:rPr>
            <w:t>Довузовская подготовка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5" w:history="1">
          <w:r>
            <w:rPr>
              <w:rStyle w:val="Hyperlink"/>
            </w:rPr>
            <w:t>Олимпиады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6" w:history="1">
          <w:r>
            <w:rPr>
              <w:rStyle w:val="Hyperlink"/>
            </w:rPr>
            <w:t>Прием в бакалавриат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7" w:history="1">
          <w:r>
            <w:rPr>
              <w:rStyle w:val="Hyperlink"/>
            </w:rPr>
            <w:t>Вышка+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8" w:history="1">
          <w:r>
            <w:rPr>
              <w:rStyle w:val="Hyperlink"/>
            </w:rPr>
            <w:t>Прием в магистратуру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9" w:history="1">
          <w:r>
            <w:rPr>
              <w:rStyle w:val="Hyperlink"/>
            </w:rPr>
            <w:t>Аспирантура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0" w:history="1">
          <w:r>
            <w:rPr>
              <w:rStyle w:val="Hyperlink"/>
            </w:rPr>
            <w:t>Дополнительное образование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1" w:history="1">
          <w:r>
            <w:rPr>
              <w:rStyle w:val="Hyperlink"/>
            </w:rPr>
            <w:t>Центр развития карьеры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2" w:history="1">
          <w:r>
            <w:rPr>
              <w:rStyle w:val="Hyperlink"/>
            </w:rPr>
            <w:t>Бизнес-инкубатор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3" w:history="1">
          <w:r>
            <w:rPr>
              <w:rStyle w:val="Hyperlink"/>
            </w:rPr>
            <w:t>Образовательные партнерства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4" w:history="1">
          <w:r>
            <w:rPr>
              <w:rStyle w:val="Hyperlink"/>
            </w:rPr>
            <w:t>Обратная связь и взаимодействие с получателями услуг</w:t>
          </w:r>
        </w:hyperlink>
      </w:r>
    </w:p>
    <w:p>
      <w:pPr>
        <w:autoSpaceDN w:val="0"/>
        <w:autoSpaceDE w:val="0"/>
        <w:widowControl/>
        <w:spacing w:line="240" w:lineRule="auto" w:before="200" w:after="0"/>
        <w:ind w:left="16" w:right="0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65" w:history="1">
          <w:r>
            <w:rPr>
              <w:rStyle w:val="Hyperlink"/>
            </w:rPr>
            <w:t>НАУКА</w:t>
          </w:r>
        </w:hyperlink>
      </w:r>
    </w:p>
    <w:p>
      <w:pPr>
        <w:sectPr>
          <w:pgSz w:w="11918" w:h="16858"/>
          <w:pgMar w:top="330" w:right="828" w:bottom="418" w:left="8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347980</wp:posOffset>
            </wp:positionH>
            <wp:positionV relativeFrom="page">
              <wp:posOffset>2228850</wp:posOffset>
            </wp:positionV>
            <wp:extent cx="6877050" cy="456989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6877050" cy="45698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53" w:lineRule="auto" w:before="18" w:after="0"/>
        <w:ind w:left="300" w:right="6480" w:firstLine="0"/>
        <w:jc w:val="left"/>
      </w:pP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6" w:history="1">
          <w:r>
            <w:rPr>
              <w:rStyle w:val="Hyperlink"/>
            </w:rPr>
            <w:t>Научные подразделения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7" w:history="1">
          <w:r>
            <w:rPr>
              <w:rStyle w:val="Hyperlink"/>
            </w:rPr>
            <w:t>Исследовательские проекты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8" w:history="1">
          <w:r>
            <w:rPr>
              <w:rStyle w:val="Hyperlink"/>
            </w:rPr>
            <w:t>Мониторинги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9" w:history="1">
          <w:r>
            <w:rPr>
              <w:rStyle w:val="Hyperlink"/>
            </w:rPr>
            <w:t>Диссертационные советы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0" w:history="1">
          <w:r>
            <w:rPr>
              <w:rStyle w:val="Hyperlink"/>
            </w:rPr>
            <w:t>Защиты диссертаций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1" w:history="1">
          <w:r>
            <w:rPr>
              <w:rStyle w:val="Hyperlink"/>
            </w:rPr>
            <w:t>Академическое развитие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2" w:history="1">
          <w:r>
            <w:rPr>
              <w:rStyle w:val="Hyperlink"/>
            </w:rPr>
            <w:t>Конкурсы и гранты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3" w:history="1">
          <w:r>
            <w:rPr>
              <w:rStyle w:val="Hyperlink"/>
            </w:rPr>
            <w:t>Внешние научно-информационные ресурсы</w:t>
          </w:r>
        </w:hyperlink>
      </w:r>
    </w:p>
    <w:p>
      <w:pPr>
        <w:autoSpaceDN w:val="0"/>
        <w:autoSpaceDE w:val="0"/>
        <w:widowControl/>
        <w:spacing w:line="353" w:lineRule="auto" w:before="200" w:after="0"/>
        <w:ind w:left="300" w:right="7776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74" w:history="1">
          <w:r>
            <w:rPr>
              <w:rStyle w:val="Hyperlink"/>
            </w:rPr>
            <w:t>РЕСУРСЫ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5" w:history="1">
          <w:r>
            <w:rPr>
              <w:rStyle w:val="Hyperlink"/>
            </w:rPr>
            <w:t>Библиотека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6" w:history="1">
          <w:r>
            <w:rPr>
              <w:rStyle w:val="Hyperlink"/>
            </w:rPr>
            <w:t>Издательский дом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7" w:history="1">
          <w:r>
            <w:rPr>
              <w:rStyle w:val="Hyperlink"/>
            </w:rPr>
            <w:t>Книжный магазин «БукВышка»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8" w:history="1">
          <w:r>
            <w:rPr>
              <w:rStyle w:val="Hyperlink"/>
            </w:rPr>
            <w:t>Типография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9" w:history="1">
          <w:r>
            <w:rPr>
              <w:rStyle w:val="Hyperlink"/>
            </w:rPr>
            <w:t>Медиацентр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80" w:history="1">
          <w:r>
            <w:rPr>
              <w:rStyle w:val="Hyperlink"/>
            </w:rPr>
            <w:t>Журналы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4" w:history="1">
          <w:r>
            <w:rPr>
              <w:rStyle w:val="Hyperlink"/>
            </w:rPr>
            <w:t>Публикации</w:t>
          </w:r>
        </w:hyperlink>
      </w:r>
    </w:p>
    <w:p>
      <w:pPr>
        <w:autoSpaceDN w:val="0"/>
        <w:autoSpaceDE w:val="0"/>
        <w:widowControl/>
        <w:spacing w:line="338" w:lineRule="auto" w:before="200" w:after="0"/>
        <w:ind w:left="300" w:right="6048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3"/>
        </w:rPr>
        <w:t>ПОЛЕЗНЫЕ ССЫЛКИ</w:t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81" w:history="1">
          <w:r>
            <w:rPr>
              <w:rStyle w:val="Hyperlink"/>
            </w:rPr>
            <w:t>Министерство науки и высшего образования РФ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82" w:history="1">
          <w:r>
            <w:rPr>
              <w:rStyle w:val="Hyperlink"/>
            </w:rPr>
            <w:t>Министерство просвещения РФ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83" w:history="1">
          <w:r>
            <w:rPr>
              <w:rStyle w:val="Hyperlink"/>
            </w:rPr>
            <w:t>Федеральный портал «Российское образование»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84" w:history="1">
          <w:r>
            <w:rPr>
              <w:rStyle w:val="Hyperlink"/>
            </w:rPr>
            <w:t>Массовые открытые онлайн-курсы</w:t>
          </w:r>
        </w:hyperlink>
      </w:r>
    </w:p>
    <w:p>
      <w:pPr>
        <w:autoSpaceDN w:val="0"/>
        <w:autoSpaceDE w:val="0"/>
        <w:widowControl/>
        <w:spacing w:line="281" w:lineRule="auto" w:before="166" w:after="0"/>
        <w:ind w:left="300" w:right="432" w:firstLine="0"/>
        <w:jc w:val="left"/>
      </w:pPr>
      <w:r>
        <w:rPr>
          <w:rFonts w:ascii="Segoe UI" w:hAnsi="Segoe UI" w:eastAsia="Segoe UI"/>
          <w:b w:val="0"/>
          <w:i w:val="0"/>
          <w:color w:val="AAAAAA"/>
          <w:sz w:val="15"/>
        </w:rPr>
        <w:hyperlink r:id="rId85" w:history="1">
          <w:r>
            <w:rPr>
              <w:rStyle w:val="Hyperlink"/>
            </w:rPr>
            <w:t>Редактору</w:t>
          </w:r>
        </w:hyperlink>
      </w:r>
      <w:r>
        <w:br/>
      </w:r>
      <w:r>
        <w:rPr>
          <w:rFonts w:ascii="Segoe UI" w:hAnsi="Segoe UI" w:eastAsia="Segoe UI"/>
          <w:b w:val="0"/>
          <w:i w:val="0"/>
          <w:color w:val="000000"/>
          <w:sz w:val="19"/>
        </w:rPr>
        <w:t>© НИУ ВШЭ 1993–2026</w:t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86" w:history="1">
          <w:r>
            <w:rPr>
              <w:rStyle w:val="Hyperlink"/>
            </w:rPr>
            <w:t>Адреса и контакты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87" w:history="1">
          <w:r>
            <w:rPr>
              <w:rStyle w:val="Hyperlink"/>
            </w:rPr>
            <w:t>Условия использования материалов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88" w:history="1">
          <w:r>
            <w:rPr>
              <w:rStyle w:val="Hyperlink"/>
            </w:rPr>
            <w:t>Политика конфиденциальности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89" w:history="1">
          <w:r>
            <w:rPr>
              <w:rStyle w:val="Hyperlink"/>
            </w:rPr>
            <w:t>Карта сайта</w:t>
          </w:r>
        </w:hyperlink>
      </w:r>
      <w:r>
        <w:br/>
      </w:r>
      <w:r>
        <w:rPr>
          <w:rFonts w:ascii="Segoe UI" w:hAnsi="Segoe UI" w:eastAsia="Segoe UI"/>
          <w:b w:val="0"/>
          <w:i w:val="0"/>
          <w:color w:val="000000"/>
          <w:sz w:val="19"/>
        </w:rPr>
        <w:t xml:space="preserve">Шрифты HSE Sans и HSE Slab разработаны в </w:t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90" w:history="1">
          <w:r>
            <w:rPr>
              <w:rStyle w:val="Hyperlink"/>
            </w:rPr>
            <w:t>Школе дизайна НИУ ВШЭ</w:t>
          </w:r>
        </w:hyperlink>
      </w:r>
    </w:p>
    <w:sectPr w:rsidR="00FC693F" w:rsidRPr="0006063C" w:rsidSect="00034616">
      <w:pgSz w:w="11918" w:h="16858"/>
      <w:pgMar w:top="338" w:right="542" w:bottom="344" w:left="55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hse.ru/" TargetMode="External"/><Relationship Id="rId10" Type="http://schemas.openxmlformats.org/officeDocument/2006/relationships/hyperlink" Target="https://www.hse.ru/studyspravka" TargetMode="External"/><Relationship Id="rId11" Type="http://schemas.openxmlformats.org/officeDocument/2006/relationships/hyperlink" Target="https://www.hse.ru/studyspravka/perbud_nn" TargetMode="External"/><Relationship Id="rId12" Type="http://schemas.openxmlformats.org/officeDocument/2006/relationships/hyperlink" Target="https://www.hse.ru/studyspravka/perbud_spb" TargetMode="External"/><Relationship Id="rId13" Type="http://schemas.openxmlformats.org/officeDocument/2006/relationships/hyperlink" Target="https://www.hse.ru/studyspravka/perbud/#osn" TargetMode="External"/><Relationship Id="rId14" Type="http://schemas.openxmlformats.org/officeDocument/2006/relationships/hyperlink" Target="https://www.hse.ru/studyspravka/perbud/#pr" TargetMode="External"/><Relationship Id="rId15" Type="http://schemas.openxmlformats.org/officeDocument/2006/relationships/hyperlink" Target="https://www.hse.ru/studyspravka/perbud/#regl" TargetMode="External"/><Relationship Id="rId16" Type="http://schemas.openxmlformats.org/officeDocument/2006/relationships/hyperlink" Target="https://www.hse.ru/studyspravka/perbud/#lg" TargetMode="External"/><Relationship Id="rId17" Type="http://schemas.openxmlformats.org/officeDocument/2006/relationships/hyperlink" Target="https://www.hse.ru/studyspravka/perbud/#cr" TargetMode="External"/><Relationship Id="rId18" Type="http://schemas.openxmlformats.org/officeDocument/2006/relationships/hyperlink" Target="https://www.hse.ru/studyspravka/perbud/#proc" TargetMode="External"/><Relationship Id="rId19" Type="http://schemas.openxmlformats.org/officeDocument/2006/relationships/image" Target="media/image1.png"/><Relationship Id="rId20" Type="http://schemas.openxmlformats.org/officeDocument/2006/relationships/image" Target="media/image2.png"/><Relationship Id="rId21" Type="http://schemas.openxmlformats.org/officeDocument/2006/relationships/hyperlink" Target="https://ivo.garant.ru/#/document/407740444/paragraph/1:1" TargetMode="External"/><Relationship Id="rId22" Type="http://schemas.openxmlformats.org/officeDocument/2006/relationships/hyperlink" Target="https://www.hse.ru/studyspravka/repeated_courses" TargetMode="External"/><Relationship Id="rId23" Type="http://schemas.openxmlformats.org/officeDocument/2006/relationships/hyperlink" Target="https://www.hse.ru/studyspravka/fees" TargetMode="External"/><Relationship Id="rId24" Type="http://schemas.openxmlformats.org/officeDocument/2006/relationships/hyperlink" Target="https://istudy.hse.ru/vbm-applications" TargetMode="External"/><Relationship Id="rId25" Type="http://schemas.openxmlformats.org/officeDocument/2006/relationships/hyperlink" Target="https://www.hse.ru/docs/1043321399.html" TargetMode="External"/><Relationship Id="rId26" Type="http://schemas.openxmlformats.org/officeDocument/2006/relationships/image" Target="media/image3.png"/><Relationship Id="rId27" Type="http://schemas.openxmlformats.org/officeDocument/2006/relationships/image" Target="media/image4.png"/><Relationship Id="rId28" Type="http://schemas.openxmlformats.org/officeDocument/2006/relationships/hyperlink" Target="https://www.hse.ru/mirror/pubs/share/1099980170.docx" TargetMode="External"/><Relationship Id="rId29" Type="http://schemas.openxmlformats.org/officeDocument/2006/relationships/hyperlink" Target="https://www.hse.ru/docs/1048121069.html" TargetMode="External"/><Relationship Id="rId30" Type="http://schemas.openxmlformats.org/officeDocument/2006/relationships/hyperlink" Target="https://www.hse.ru/docs/1064623665.html" TargetMode="External"/><Relationship Id="rId31" Type="http://schemas.openxmlformats.org/officeDocument/2006/relationships/hyperlink" Target="https://www.hse.ru/studyspravka/plan" TargetMode="External"/><Relationship Id="rId32" Type="http://schemas.openxmlformats.org/officeDocument/2006/relationships/hyperlink" Target="https://studentcentre.hse.ru/#contacts" TargetMode="External"/><Relationship Id="rId33" Type="http://schemas.openxmlformats.org/officeDocument/2006/relationships/hyperlink" Target="mailto:studcentre@hse.ru?subject=%D0%92%D0%BE%D0%BF%D1%80%D0%BE%D1%81%20%D0%BF%D0%BE%20%D0%BF%D0%B5%D1%80%D0%B5%D0%B2%D0%BE%D0%B4%D1%83%20%D1%81%20%D0%BF%D0%BB%D0%B0%D1%82%D0%BD%D0%BE%D0%B3%D0%BE%20%D0%BE%D0%B1%D1%83%D1%87%D0%B5%D0%BD%D0%B8%D1%8F%20%D0%BD%D0%B0%20%D0%B1%D0%B5%D1%81%D0%BF%D0%BB%D0%B0%D1%82%D0%BD%D0%BE%D0%B5" TargetMode="External"/><Relationship Id="rId34" Type="http://schemas.openxmlformats.org/officeDocument/2006/relationships/image" Target="media/image5.png"/><Relationship Id="rId35" Type="http://schemas.openxmlformats.org/officeDocument/2006/relationships/image" Target="media/image6.png"/><Relationship Id="rId36" Type="http://schemas.openxmlformats.org/officeDocument/2006/relationships/image" Target="media/image7.png"/><Relationship Id="rId37" Type="http://schemas.openxmlformats.org/officeDocument/2006/relationships/hyperlink" Target="https://www.hse.ru/org/hse/info/" TargetMode="External"/><Relationship Id="rId38" Type="http://schemas.openxmlformats.org/officeDocument/2006/relationships/hyperlink" Target="https://figures.hse.ru/" TargetMode="External"/><Relationship Id="rId39" Type="http://schemas.openxmlformats.org/officeDocument/2006/relationships/hyperlink" Target="https://www.hse.ru/orgstructure/" TargetMode="External"/><Relationship Id="rId40" Type="http://schemas.openxmlformats.org/officeDocument/2006/relationships/hyperlink" Target="https://sustainability.hse.ru/" TargetMode="External"/><Relationship Id="rId41" Type="http://schemas.openxmlformats.org/officeDocument/2006/relationships/hyperlink" Target="https://www.hse.ru/org/persons/" TargetMode="External"/><Relationship Id="rId42" Type="http://schemas.openxmlformats.org/officeDocument/2006/relationships/hyperlink" Target="https://www.hse.ru/buildinghse" TargetMode="External"/><Relationship Id="rId43" Type="http://schemas.openxmlformats.org/officeDocument/2006/relationships/hyperlink" Target="https://www.hse.ru/org/hse/aup/procurement/" TargetMode="External"/><Relationship Id="rId44" Type="http://schemas.openxmlformats.org/officeDocument/2006/relationships/hyperlink" Target="https://www.hse.ru/appeal/" TargetMode="External"/><Relationship Id="rId45" Type="http://schemas.openxmlformats.org/officeDocument/2006/relationships/hyperlink" Target="https://endowment.hse.ru/" TargetMode="External"/><Relationship Id="rId46" Type="http://schemas.openxmlformats.org/officeDocument/2006/relationships/hyperlink" Target="https://www.hse.ru/anticorruption" TargetMode="External"/><Relationship Id="rId47" Type="http://schemas.openxmlformats.org/officeDocument/2006/relationships/hyperlink" Target="https://www.hse.ru/anticorruption/information" TargetMode="External"/><Relationship Id="rId48" Type="http://schemas.openxmlformats.org/officeDocument/2006/relationships/hyperlink" Target="https://www.hse.ru/sveden/" TargetMode="External"/><Relationship Id="rId49" Type="http://schemas.openxmlformats.org/officeDocument/2006/relationships/hyperlink" Target="https://inclusive.hse.ru/" TargetMode="External"/><Relationship Id="rId50" Type="http://schemas.openxmlformats.org/officeDocument/2006/relationships/hyperlink" Target="https://pay.hse.ru/" TargetMode="External"/><Relationship Id="rId51" Type="http://schemas.openxmlformats.org/officeDocument/2006/relationships/hyperlink" Target="https://www.hse.ru/career" TargetMode="External"/><Relationship Id="rId52" Type="http://schemas.openxmlformats.org/officeDocument/2006/relationships/hyperlink" Target="https://www.hse.ru/education/" TargetMode="External"/><Relationship Id="rId53" Type="http://schemas.openxmlformats.org/officeDocument/2006/relationships/hyperlink" Target="https://school.hse.ru/" TargetMode="External"/><Relationship Id="rId54" Type="http://schemas.openxmlformats.org/officeDocument/2006/relationships/hyperlink" Target="https://fdp.hse.ru/" TargetMode="External"/><Relationship Id="rId55" Type="http://schemas.openxmlformats.org/officeDocument/2006/relationships/hyperlink" Target="https://olymp.hse.ru/" TargetMode="External"/><Relationship Id="rId56" Type="http://schemas.openxmlformats.org/officeDocument/2006/relationships/hyperlink" Target="https://ba.hse.ru/" TargetMode="External"/><Relationship Id="rId57" Type="http://schemas.openxmlformats.org/officeDocument/2006/relationships/hyperlink" Target="https://www.hse.ru/plus" TargetMode="External"/><Relationship Id="rId58" Type="http://schemas.openxmlformats.org/officeDocument/2006/relationships/hyperlink" Target="https://ma.hse.ru/" TargetMode="External"/><Relationship Id="rId59" Type="http://schemas.openxmlformats.org/officeDocument/2006/relationships/hyperlink" Target="https://aspirantura.hse.ru/" TargetMode="External"/><Relationship Id="rId60" Type="http://schemas.openxmlformats.org/officeDocument/2006/relationships/hyperlink" Target="https://busedu.hse.ru/" TargetMode="External"/><Relationship Id="rId61" Type="http://schemas.openxmlformats.org/officeDocument/2006/relationships/hyperlink" Target="https://career.hse.ru/" TargetMode="External"/><Relationship Id="rId62" Type="http://schemas.openxmlformats.org/officeDocument/2006/relationships/hyperlink" Target="http://inc.hse.ru/" TargetMode="External"/><Relationship Id="rId63" Type="http://schemas.openxmlformats.org/officeDocument/2006/relationships/hyperlink" Target="https://dd.hse.ru/" TargetMode="External"/><Relationship Id="rId64" Type="http://schemas.openxmlformats.org/officeDocument/2006/relationships/hyperlink" Target="https://www.hse.ru/feedback" TargetMode="External"/><Relationship Id="rId65" Type="http://schemas.openxmlformats.org/officeDocument/2006/relationships/hyperlink" Target="https://www.hse.ru/science/" TargetMode="External"/><Relationship Id="rId66" Type="http://schemas.openxmlformats.org/officeDocument/2006/relationships/hyperlink" Target="https://www.hse.ru/science/centers" TargetMode="External"/><Relationship Id="rId67" Type="http://schemas.openxmlformats.org/officeDocument/2006/relationships/hyperlink" Target="https://www.hse.ru/org/projects/" TargetMode="External"/><Relationship Id="rId68" Type="http://schemas.openxmlformats.org/officeDocument/2006/relationships/hyperlink" Target="https://www.hse.ru/monitoring/" TargetMode="External"/><Relationship Id="rId69" Type="http://schemas.openxmlformats.org/officeDocument/2006/relationships/hyperlink" Target="https://www.hse.ru/science/disscoun/" TargetMode="External"/><Relationship Id="rId70" Type="http://schemas.openxmlformats.org/officeDocument/2006/relationships/hyperlink" Target="https://aspirantura.hse.ru/defence/announcements/" TargetMode="External"/><Relationship Id="rId71" Type="http://schemas.openxmlformats.org/officeDocument/2006/relationships/hyperlink" Target="https://academics.hse.ru/" TargetMode="External"/><Relationship Id="rId72" Type="http://schemas.openxmlformats.org/officeDocument/2006/relationships/hyperlink" Target="https://www.hse.ru/science/hsegrants" TargetMode="External"/><Relationship Id="rId73" Type="http://schemas.openxmlformats.org/officeDocument/2006/relationships/hyperlink" Target="https://sezam.hse.ru/" TargetMode="External"/><Relationship Id="rId74" Type="http://schemas.openxmlformats.org/officeDocument/2006/relationships/hyperlink" Target="https://publications.hse.ru/" TargetMode="External"/><Relationship Id="rId75" Type="http://schemas.openxmlformats.org/officeDocument/2006/relationships/hyperlink" Target="https://library.hse.ru/" TargetMode="External"/><Relationship Id="rId76" Type="http://schemas.openxmlformats.org/officeDocument/2006/relationships/hyperlink" Target="https://id.hse.ru/" TargetMode="External"/><Relationship Id="rId77" Type="http://schemas.openxmlformats.org/officeDocument/2006/relationships/hyperlink" Target="https://bookshop.hse.ru/" TargetMode="External"/><Relationship Id="rId78" Type="http://schemas.openxmlformats.org/officeDocument/2006/relationships/hyperlink" Target="https://print.hse.ru/" TargetMode="External"/><Relationship Id="rId79" Type="http://schemas.openxmlformats.org/officeDocument/2006/relationships/hyperlink" Target="https://mc.hse.ru/" TargetMode="External"/><Relationship Id="rId80" Type="http://schemas.openxmlformats.org/officeDocument/2006/relationships/hyperlink" Target="https://www.hse.ru/science/journals" TargetMode="External"/><Relationship Id="rId81" Type="http://schemas.openxmlformats.org/officeDocument/2006/relationships/hyperlink" Target="http://www.minobrnauki.gov.ru/" TargetMode="External"/><Relationship Id="rId82" Type="http://schemas.openxmlformats.org/officeDocument/2006/relationships/hyperlink" Target="https://edu.gov.ru/" TargetMode="External"/><Relationship Id="rId83" Type="http://schemas.openxmlformats.org/officeDocument/2006/relationships/hyperlink" Target="http://www.edu.ru/" TargetMode="External"/><Relationship Id="rId84" Type="http://schemas.openxmlformats.org/officeDocument/2006/relationships/hyperlink" Target="https://elearning.hse.ru/mooc" TargetMode="External"/><Relationship Id="rId85" Type="http://schemas.openxmlformats.org/officeDocument/2006/relationships/hyperlink" Target="https://www.hse.ru/adm/edit/edit.html?goto=%2AL3N0dWR5c3ByYXZrYS9wZXJidWQ%2FX3I9MzYyMzA5NjE3NzUwODE2ODIuNjYxNQ%3D%3D%5E&amp;id=95178456&amp;cid=20594&amp;addon_name=default&amp;newportal=1" TargetMode="External"/><Relationship Id="rId86" Type="http://schemas.openxmlformats.org/officeDocument/2006/relationships/hyperlink" Target="https://www.hse.ru/contacts.html" TargetMode="External"/><Relationship Id="rId87" Type="http://schemas.openxmlformats.org/officeDocument/2006/relationships/hyperlink" Target="https://www.hse.ru/copyright" TargetMode="External"/><Relationship Id="rId88" Type="http://schemas.openxmlformats.org/officeDocument/2006/relationships/hyperlink" Target="https://www.hse.ru/data_protection_regulation" TargetMode="External"/><Relationship Id="rId89" Type="http://schemas.openxmlformats.org/officeDocument/2006/relationships/hyperlink" Target="https://www.hse.ru/sitemap.html" TargetMode="External"/><Relationship Id="rId90" Type="http://schemas.openxmlformats.org/officeDocument/2006/relationships/hyperlink" Target="https://design.hse.ru/" TargetMode="External"/><Relationship Id="rId9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