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304" w:right="230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Особенности учебного процесса в НИУ ВШЭ: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Информация для ППС</w:t>
      </w:r>
    </w:p>
    <w:p>
      <w:pPr>
        <w:autoSpaceDN w:val="0"/>
        <w:autoSpaceDE w:val="0"/>
        <w:widowControl/>
        <w:spacing w:line="240" w:lineRule="auto" w:before="468" w:after="0"/>
        <w:ind w:left="304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p>
      <w:pPr>
        <w:autoSpaceDN w:val="0"/>
        <w:autoSpaceDE w:val="0"/>
        <w:widowControl/>
        <w:spacing w:line="240" w:lineRule="auto" w:before="790" w:after="17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Как устроен учебный год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6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4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Особенности организации учебного процесса</w:t>
            </w:r>
          </w:p>
        </w:tc>
      </w:tr>
    </w:tbl>
    <w:p>
      <w:pPr>
        <w:autoSpaceDN w:val="0"/>
        <w:autoSpaceDE w:val="0"/>
        <w:widowControl/>
        <w:spacing w:line="271" w:lineRule="auto" w:before="154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Ежегодно в НИУ ВШЭ издаётся приказ, фиксирующий особенности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планирования учебного процесса. В текущем учебном году это приказ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Об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утверждении локальных нормативных актов, регулирующих планирование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организацию учебного процесса по образовательным программам высшего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образования в Национальном исследовательском университете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школа экономики» в 2025/2026 учебном году</w:t>
          </w:r>
        </w:hyperlink>
      </w:r>
    </w:p>
    <w:p>
      <w:pPr>
        <w:autoSpaceDN w:val="0"/>
        <w:autoSpaceDE w:val="0"/>
        <w:widowControl/>
        <w:spacing w:line="266" w:lineRule="auto" w:before="262" w:after="0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Приказ вводит в действие правила, порядки, регламенты и нормативы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соответствии с которыми осуществляется планирование и контроль за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учебным процессом. </w:t>
      </w:r>
    </w:p>
    <w:p>
      <w:pPr>
        <w:autoSpaceDN w:val="0"/>
        <w:autoSpaceDE w:val="0"/>
        <w:widowControl/>
        <w:spacing w:line="271" w:lineRule="auto" w:before="26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Приложение 1.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t xml:space="preserve">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Правила планирования объема, поручения и учета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фактического выполнения учебной нагрузки научно-педагогических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работников на ставку по определенной должности в Национальном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исследовательском университете «Высшая школа экономики» на 2025/2026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учебный год</w:t>
          </w:r>
        </w:hyperlink>
      </w:r>
    </w:p>
    <w:p>
      <w:pPr>
        <w:autoSpaceDN w:val="0"/>
        <w:autoSpaceDE w:val="0"/>
        <w:widowControl/>
        <w:spacing w:line="257" w:lineRule="auto" w:before="262" w:after="32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Приложение 2.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Порядок установления норм времени по видам контактной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работы на одного обучающегося Национального исследовательского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80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университета «Высшая школа экономики» на 2025/2026 учебный год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700" w:after="0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Приложение 3.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Регламент подтверждения выполнения учебной работы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научными работниками Национального исследовательского университета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«Высшая школа экономики» на 2025/2026 учебный год</w:t>
          </w:r>
        </w:hyperlink>
      </w:r>
    </w:p>
    <w:p>
      <w:pPr>
        <w:autoSpaceDN w:val="0"/>
        <w:autoSpaceDE w:val="0"/>
        <w:widowControl/>
        <w:spacing w:line="271" w:lineRule="auto" w:before="260" w:after="0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Приложение 4.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Нормативы для расчета дополнительной образовательной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работы, выполняемой научными работниками, не являющимися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одновременно работниками профессорско-преподавательского состава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Национального исследовательского университета «Высшая школа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экономики», на 2025/2026 учебный год</w:t>
          </w:r>
        </w:hyperlink>
      </w:r>
    </w:p>
    <w:p>
      <w:pPr>
        <w:autoSpaceDN w:val="0"/>
        <w:autoSpaceDE w:val="0"/>
        <w:widowControl/>
        <w:spacing w:line="266" w:lineRule="auto" w:before="262" w:after="24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Приложение 5.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Правила планирования и подтверждения факта оказания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преподавательских услуг, поручаемых в рамках договоров гражданско-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правового характера, в Национальном исследовательском университете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6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8" w:history="1">
                <w:r>
                  <w:rPr>
                    <w:rStyle w:val="Hyperlink"/>
                  </w:rPr>
                  <w:t>«Высшая школа экономики» на 2025/2026 учебный год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9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Также ежегодно издаётся приказ отражающий особенности планирования и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организации непосредственно самих учебных занятий</w:t>
      </w:r>
    </w:p>
    <w:p>
      <w:pPr>
        <w:autoSpaceDN w:val="0"/>
        <w:autoSpaceDE w:val="0"/>
        <w:widowControl/>
        <w:spacing w:line="269" w:lineRule="auto" w:before="260" w:after="0"/>
        <w:ind w:left="828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Приказ на 2025/2026: 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О порядке планирования и организации учебных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занятий в 2025/2026 учебном году по образовательным программам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Национального исследовательского университета «Высшая школа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экономики»</w:t>
          </w:r>
        </w:hyperlink>
      </w:r>
    </w:p>
    <w:p>
      <w:pPr>
        <w:autoSpaceDN w:val="0"/>
        <w:autoSpaceDE w:val="0"/>
        <w:widowControl/>
        <w:spacing w:line="257" w:lineRule="auto" w:before="262" w:after="0"/>
        <w:ind w:left="720" w:right="1872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Приложение.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Регламент планирования, утверждения и публикации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расписания учебных занятий в НИУ ВШЭ на 2025/2026 учебный год</w:t>
          </w:r>
        </w:hyperlink>
      </w:r>
    </w:p>
    <w:p>
      <w:pPr>
        <w:autoSpaceDN w:val="0"/>
        <w:autoSpaceDE w:val="0"/>
        <w:widowControl/>
        <w:spacing w:line="240" w:lineRule="auto" w:before="238" w:after="26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Приложение 1.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2047239</wp:posOffset>
            </wp:positionH>
            <wp:positionV relativeFrom="page">
              <wp:posOffset>6601459</wp:posOffset>
            </wp:positionV>
            <wp:extent cx="190500" cy="17018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18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Перечень учебных аудиторий, закрепленных за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структурными подразделениями, реализующими ОП ВО, на 2025/2026 уч.г. с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04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правом преимущественного использования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(DOCX, 28 Кб)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47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.9999999999999" w:type="dxa"/>
            </w:tblPr>
            <w:tblGrid>
              <w:gridCol w:w="10804"/>
            </w:tblGrid>
            <w:tr>
              <w:trPr>
                <w:trHeight w:hRule="exact" w:val="2934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2" w:after="0"/>
                    <w:ind w:left="524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Подготовка к новому учебному году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5412"/>
        <w:gridCol w:w="5412"/>
      </w:tblGrid>
      <w:tr>
        <w:trPr>
          <w:trHeight w:hRule="exact" w:val="7016"/>
        </w:trPr>
        <w:tc>
          <w:tcPr>
            <w:tcW w:type="dxa" w:w="100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2" w:after="0"/>
              <w:ind w:left="45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429259</wp:posOffset>
                  </wp:positionV>
                  <wp:extent cx="2857500" cy="4018279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40182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612"/>
        </w:trPr>
        <w:tc>
          <w:tcPr>
            <w:tcW w:type="dxa" w:w="77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2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4638040</wp:posOffset>
                  </wp:positionV>
                  <wp:extent cx="190500" cy="17272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27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8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56" w:right="0" w:firstLine="0"/>
              <w:jc w:val="left"/>
            </w:pPr>
            <w:r>
              <w:rPr>
                <w:u w:val="single" w:color="0079c4"/>
                <w:rFonts w:ascii="Segoe UI Semibold" w:hAnsi="Segoe UI Semibold" w:eastAsia="Segoe UI Semibold"/>
                <w:b/>
                <w:i w:val="0"/>
                <w:color w:val="007AC5"/>
                <w:sz w:val="24"/>
              </w:rPr>
              <w:hyperlink r:id="rId24" w:history="1">
                <w:r>
                  <w:rPr>
                    <w:rStyle w:val="Hyperlink"/>
                  </w:rPr>
                  <w:t>СКАЧАТЬ ПАМЯТКУ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59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32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Модули</w:t>
            </w:r>
          </w:p>
        </w:tc>
      </w:tr>
    </w:tbl>
    <w:p>
      <w:pPr>
        <w:autoSpaceDN w:val="0"/>
        <w:autoSpaceDE w:val="0"/>
        <w:widowControl/>
        <w:spacing w:line="240" w:lineRule="auto" w:before="14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Учебный год в НИУ ВШЭ поделен на четыре модуля, в конце каждого –</w:t>
      </w:r>
    </w:p>
    <w:p>
      <w:pPr>
        <w:autoSpaceDN w:val="0"/>
        <w:autoSpaceDE w:val="0"/>
        <w:widowControl/>
        <w:spacing w:line="240" w:lineRule="auto" w:before="66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сессия. У некоторых образовательных программ учебный год поделен 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два семестра или три модуля (см.подробнее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график учебного процесса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6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Сессия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6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 окончании каждого из модулей предусмотрена сессия, во время которой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89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экзамена по вашей дисциплине может и не быть, поскольку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6"/>
        </w:trPr>
        <w:tc>
          <w:tcPr>
            <w:tcW w:type="dxa" w:w="98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преподаватель определяет перечень элементов контроля самостоятельно.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75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Самое главное во время сессии – это рассчитать и выставить оценку по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промежуточной аттестации. Даты сессий также утверждены в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графике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44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учебного процесса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580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18" w:after="0"/>
              <w:ind w:left="52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Каникулы</w:t>
            </w:r>
          </w:p>
        </w:tc>
      </w:tr>
    </w:tbl>
    <w:p>
      <w:pPr>
        <w:autoSpaceDN w:val="0"/>
        <w:autoSpaceDE w:val="0"/>
        <w:widowControl/>
        <w:spacing w:line="240" w:lineRule="auto" w:before="154" w:after="32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первые дни января сессия не предусмотрена, поскольку в это время 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2"/>
        </w:trPr>
        <w:tc>
          <w:tcPr>
            <w:tcW w:type="dxa" w:w="7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студентов НИУ ВШЭ каникулы.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5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Каникулы предоставляются три раза в год согласно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графику учебного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процесса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auto" w:before="670" w:after="17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Образовательные программы НИУ ВШЭ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18"/>
        </w:trPr>
        <w:tc>
          <w:tcPr>
            <w:tcW w:type="dxa" w:w="10066"/>
            <w:tcBorders>
              <w:top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0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Образовательные программы реализуются в НИУ ВШЭ по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1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собственным образовательным стандартам (см. подробнее об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6" w:history="1">
                <w:r>
                  <w:rPr>
                    <w:rStyle w:val="Hyperlink"/>
                  </w:rPr>
                  <w:t>образовательных программах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40" w:lineRule="auto" w:before="670" w:after="172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28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 Вышке принята десятибалльная система оценивания, существуют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7" w:history="1">
                <w:r>
                  <w:rPr>
                    <w:rStyle w:val="Hyperlink"/>
                  </w:rPr>
                  <w:t>таблицы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6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7" w:history="1">
                <w:r>
                  <w:rPr>
                    <w:rStyle w:val="Hyperlink"/>
                  </w:rPr>
                  <w:t>ее соответствия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с пятибалльной шкалой и шкалой ECTS. При оценивании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0"/>
        </w:trPr>
        <w:tc>
          <w:tcPr>
            <w:tcW w:type="dxa" w:w="97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текущих результатов студентов преподаватель имеет право использовать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6"/>
        </w:trPr>
        <w:tc>
          <w:tcPr>
            <w:tcW w:type="dxa" w:w="93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любую шкалу, но при выставлении оценок в ведомость он должен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90"/>
        </w:trPr>
        <w:tc>
          <w:tcPr>
            <w:tcW w:type="dxa" w:w="7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перевести их в 10‑балльную шкалу:</w:t>
            </w:r>
          </w:p>
        </w:tc>
      </w:tr>
      <w:tr>
        <w:trPr>
          <w:trHeight w:hRule="exact" w:val="60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«Отлично» -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8-10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баллов;</w:t>
            </w:r>
          </w:p>
        </w:tc>
      </w:tr>
      <w:tr>
        <w:trPr>
          <w:trHeight w:hRule="exact" w:val="508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«Хорошо» -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6-7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баллов;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156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576" w:after="0"/>
              <w:ind w:left="72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576" w:after="0"/>
              <w:ind w:left="6" w:right="5328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«Удовлетворительно» -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4-5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баллов;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«Неудовлетворительно» -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0-3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балла.</w:t>
            </w:r>
          </w:p>
        </w:tc>
      </w:tr>
    </w:tbl>
    <w:p>
      <w:pPr>
        <w:autoSpaceDN w:val="0"/>
        <w:autoSpaceDE w:val="0"/>
        <w:widowControl/>
        <w:spacing w:line="259" w:lineRule="auto" w:before="200" w:after="0"/>
        <w:ind w:left="828" w:right="230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Оценки «Отлично», «Хорошо», «Удовлетворительно» считаются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положительными оценками.</w:t>
      </w:r>
    </w:p>
    <w:p>
      <w:pPr>
        <w:autoSpaceDN w:val="0"/>
        <w:autoSpaceDE w:val="0"/>
        <w:widowControl/>
        <w:spacing w:line="274" w:lineRule="auto" w:before="260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Оценки «9» и «10» могут использоваться преподавателем в рамках текущего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контроля или промежуточной аттестации, если обучающийся выполняет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задания повышенной трудности и/или демонстрирует результаты обучения,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превосходящие предусмотренные программой учебной дисциплины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программой практики.</w:t>
      </w:r>
    </w:p>
    <w:p>
      <w:pPr>
        <w:autoSpaceDN w:val="0"/>
        <w:autoSpaceDE w:val="0"/>
        <w:widowControl/>
        <w:spacing w:line="269" w:lineRule="auto" w:before="260" w:after="0"/>
        <w:ind w:left="828" w:right="115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Важно: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Порядок и система оценивания, а также другие характеристики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дисциплины, обязательно прописываются преподавателем в </w:t>
      </w:r>
      <w:r>
        <w:rPr>
          <w:u w:val="single" w:color="0079c4"/>
          <w:w w:val="98.07692307692307"/>
          <w:rFonts w:ascii="Segoe UI" w:hAnsi="Segoe UI" w:eastAsia="Segoe UI"/>
          <w:b w:val="0"/>
          <w:i/>
          <w:color w:val="007AC5"/>
          <w:sz w:val="26"/>
        </w:rPr>
        <w:hyperlink r:id="rId28" w:history="1">
          <w:r>
            <w:rPr>
              <w:rStyle w:val="Hyperlink"/>
            </w:rPr>
            <w:t>Программе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/>
          <w:color w:val="007AC5"/>
          <w:sz w:val="26"/>
        </w:rPr>
        <w:hyperlink r:id="rId28" w:history="1">
          <w:r>
            <w:rPr>
              <w:rStyle w:val="Hyperlink"/>
            </w:rPr>
            <w:t>учебной дисциплины</w:t>
          </w:r>
        </w:hyperlink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 (ПУД), составляемой в Конструкторе ПУД, а также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озвучиваются студентам на первом занятии по дисциплине.</w:t>
      </w:r>
    </w:p>
    <w:p>
      <w:pPr>
        <w:autoSpaceDN w:val="0"/>
        <w:autoSpaceDE w:val="0"/>
        <w:widowControl/>
        <w:spacing w:line="264" w:lineRule="auto" w:before="262" w:after="32"/>
        <w:ind w:left="8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Неудовлетворительная оценка по элементу контроля по дисциплине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может быть причиной недопуска студента к следующим элементам контроля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(включая экзамены) по этой дисциплине, проводимым до окончания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51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ближайшей сессии, в которую предусмотрена промежуточная аттестация.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58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Программа учебной дисциплины (ПУД)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3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8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Этот документ фактически является договором преподавателя со студентами</w:t>
            </w:r>
          </w:p>
        </w:tc>
      </w:tr>
    </w:tbl>
    <w:p>
      <w:pPr>
        <w:autoSpaceDN w:val="0"/>
        <w:autoSpaceDE w:val="0"/>
        <w:widowControl/>
        <w:spacing w:line="269" w:lineRule="auto" w:before="24" w:after="32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 том, для чего, чему и как он будет учить их на занятиях. ПУД описывает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цели и планируемые результаты, содержание учебного курса (темы,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рекомендуемую литературу) и порядок работы со студентами (формы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занятий, принципы выставления оценок). Структура программы жестко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задана специальным рабочим документом Вышки (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9" w:history="1">
                <w:r>
                  <w:rPr>
                    <w:rStyle w:val="Hyperlink"/>
                  </w:rPr>
                  <w:t>подробнее о ПУД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6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Рабочая программа курса разрабатывается преподавателем (группой</w:t>
            </w:r>
          </w:p>
        </w:tc>
      </w:tr>
    </w:tbl>
    <w:p>
      <w:pPr>
        <w:autoSpaceDN w:val="0"/>
        <w:autoSpaceDE w:val="0"/>
        <w:widowControl/>
        <w:spacing w:line="266" w:lineRule="auto" w:before="24" w:after="26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преподавателей), одобряется департаментом, на котором работает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преподаватель и утверждается академическим советом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программы, в учебный план которой включена Ваша дисциплина.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670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Дисциплины общего цикла,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0" w:history="1">
                <w:r>
                  <w:rPr>
                    <w:rStyle w:val="Hyperlink"/>
                  </w:rPr>
                  <w:t>майноры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,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1" w:history="1">
                <w:r>
                  <w:rPr>
                    <w:rStyle w:val="Hyperlink"/>
                  </w:rPr>
                  <w:t>МагоЛего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и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2" w:history="1">
                <w:r>
                  <w:rPr>
                    <w:rStyle w:val="Hyperlink"/>
                  </w:rPr>
                  <w:t>общеуниверситетские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auto" w:before="700" w:after="0"/>
        <w:ind w:left="828" w:right="100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факультативы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утверждаются на заседании департамента. Если ПУД плохого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качества, то ее могут не утвердить. Это означает, что ее нельзя будет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использовать. РПУД подлежит актуализации как по инициативе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разработчика, так и по инициативе академического руководителя/ совета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программы, в учебный план которой входит учебная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дисциплина (в т.ч. по итогам студенческой оценки преподавания).</w:t>
      </w:r>
    </w:p>
    <w:p>
      <w:pPr>
        <w:autoSpaceDN w:val="0"/>
        <w:autoSpaceDE w:val="0"/>
        <w:widowControl/>
        <w:spacing w:line="276" w:lineRule="auto" w:before="262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Преподаватель имеет право регулярно — вне связи с формальными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сроками ее утверждения — обновлять программу курса по мере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развития предметной области (появления новой литературы, смещения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актуальных акцентов и пр.). Актуализация РПУД не требует ее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переутверждения до окончания срока действия, если изменения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затрагивают до 30% текста.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Если вносимых изменений больше 30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%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(значительно меняются элементы контроля и критерии оценивания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дисциплины, или добавляется/исключается значительное количество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разделов дисциплины),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тогда РПУД должна быть утверждена, как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новая программа.</w:t>
      </w:r>
    </w:p>
    <w:p>
      <w:pPr>
        <w:autoSpaceDN w:val="0"/>
        <w:autoSpaceDE w:val="0"/>
        <w:widowControl/>
        <w:spacing w:line="276" w:lineRule="auto" w:before="246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Преподаватель должен организовывать учебный процесс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соответствии с утвержденной РПУД. Если возникает необходимость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оперативно и незначительно скорректировать формулы оценивания,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порядок изучения тем, то преподаватель обязан проинформировать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 об изменениях. Лучше всего использовать письменные виды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уведомлений (SmartLMS, электронную почту) — таким образом вы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можете обезопасить себя в случае предъявления студентами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претензий, связанных с нарушением описанных в программе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договоренностей.</w:t>
      </w:r>
    </w:p>
    <w:p>
      <w:pPr>
        <w:autoSpaceDN w:val="0"/>
        <w:autoSpaceDE w:val="0"/>
        <w:widowControl/>
        <w:spacing w:line="257" w:lineRule="auto" w:before="246" w:after="0"/>
        <w:ind w:left="1428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Все программы дисциплин размещаются в открытом доступе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сайте ВШЭ: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http://www.hse.ru/edu/courses/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74" w:lineRule="auto" w:before="246" w:after="26"/>
        <w:ind w:left="14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Полная и утвержденнаярабочая  программа учебной дисциплины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должна быть размещена на портале не позднее, чем за 5 дней до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начала модуля, в котором она начинается. Для некоторых дисциплин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установлены более ранние сроки размещения программ и аннотаций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(подробнее об этом см.: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60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4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https://www.hse.ru/studyspravka/programmauchdisc).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06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0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— Преподаватель отвечает за наличие и качество программ учебных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44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0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курсов, размещенных на сайте ВШЭ.</w:t>
            </w:r>
          </w:p>
        </w:tc>
      </w:tr>
    </w:tbl>
    <w:p>
      <w:pPr>
        <w:autoSpaceDN w:val="0"/>
        <w:autoSpaceDE w:val="0"/>
        <w:widowControl/>
        <w:spacing w:line="6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62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Документы к разделу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32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4" w:history="1">
                <w:r>
                  <w:rPr>
                    <w:rStyle w:val="Hyperlink"/>
                  </w:rPr>
                  <w:t>Положение о программе учебной дисциплины образовательных программ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34" w:after="26"/>
        <w:ind w:left="0" w:right="0" w:firstLine="0"/>
        <w:jc w:val="center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>высшего образования - программ бакалавриата, специалитета, магистратуры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4" w:history="1">
                <w:r>
                  <w:rPr>
                    <w:rStyle w:val="Hyperlink"/>
                  </w:rPr>
                  <w:t>НИУ ВШЭ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670" w:after="17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Межкампусные дисциплины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18"/>
        </w:trPr>
        <w:tc>
          <w:tcPr>
            <w:tcW w:type="dxa" w:w="10066"/>
            <w:tcBorders>
              <w:top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0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Дисциплины, доступные для освоения студентам из разных кампусов НИУ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ВШЭ (НИУ ВШЭ (г. Москва) и его филиалы) и реализуемые с использованием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дистанционных технологий называются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межкампусными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Межкампусные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курсы позволяют студентам из разных городов учиться одновременно у</w:t>
      </w:r>
    </w:p>
    <w:p>
      <w:pPr>
        <w:autoSpaceDN w:val="0"/>
        <w:autoSpaceDE w:val="0"/>
        <w:widowControl/>
        <w:spacing w:line="240" w:lineRule="auto" w:before="66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одного или нескольких преподавателей. Количество таких дисциплин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822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достигало - более четверти всех курсов Вышки.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88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реализации таких дисциплин используются дистанционные технологии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(как синхронные, так и асинхронные).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Синхронный формат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предполагает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взаимодействие с преподавателем в режиме реального времени, в то время</w:t>
      </w:r>
    </w:p>
    <w:p>
      <w:pPr>
        <w:autoSpaceDN w:val="0"/>
        <w:autoSpaceDE w:val="0"/>
        <w:widowControl/>
        <w:spacing w:line="240" w:lineRule="auto" w:before="50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как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асинхронный формат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подразумевает самостоятельное изучение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студентом ранее записанных материалов в удобное для него время.</w:t>
            </w:r>
          </w:p>
        </w:tc>
      </w:tr>
    </w:tbl>
    <w:p>
      <w:pPr>
        <w:autoSpaceDN w:val="0"/>
        <w:autoSpaceDE w:val="0"/>
        <w:widowControl/>
        <w:spacing w:line="240" w:lineRule="auto" w:before="670" w:after="172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Элементы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12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.9999999999999" w:type="dxa"/>
            </w:tblPr>
            <w:tblGrid>
              <w:gridCol w:w="10804"/>
            </w:tblGrid>
            <w:tr>
              <w:trPr>
                <w:trHeight w:hRule="exact" w:val="1584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2" w:after="0"/>
                    <w:ind w:left="524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Виды элементов контроля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auto" w:before="70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Элементы контроля могут проводиться с применением дистанционных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технологий и прокторинга как во время контактной работы с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преподавателем (синхронный элемент контроля), так и во время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самостоятельной работы студентов (асинхронный элемент контроля), в том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числе и с автоматической оценкой результатов (смешанный элемент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контроля).  К ним могут относиться домашние задания, контрольные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самостоятельные работы, эссе, лабораторные работы, курсовые, проекты,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экзамены и другие формы, которые указываются в программе учебной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дисциплины.</w:t>
      </w:r>
    </w:p>
    <w:p>
      <w:pPr>
        <w:autoSpaceDN w:val="0"/>
        <w:autoSpaceDE w:val="0"/>
        <w:widowControl/>
        <w:spacing w:line="259" w:lineRule="auto" w:before="260" w:after="0"/>
        <w:ind w:left="828" w:right="100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Синхронные элементы контроля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проводимые не в сессию, планируются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соответствии с текущим расписанием.</w:t>
      </w:r>
    </w:p>
    <w:p>
      <w:pPr>
        <w:autoSpaceDN w:val="0"/>
        <w:autoSpaceDE w:val="0"/>
        <w:widowControl/>
        <w:spacing w:line="240" w:lineRule="auto" w:before="50" w:after="3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Продолжительность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устного Элемента контроля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проводимого не в период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сессии, не может превышать одну пару для каждого студента.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0"/>
        </w:trPr>
        <w:tc>
          <w:tcPr>
            <w:tcW w:type="dxa" w:w="99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/>
                <w:color w:val="000000"/>
                <w:sz w:val="26"/>
              </w:rPr>
              <w:t>Важно:</w:t>
            </w: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Оценки за Элементы контроля могут иметь разный «вес» внутри</w:t>
            </w:r>
          </w:p>
        </w:tc>
      </w:tr>
    </w:tbl>
    <w:p>
      <w:pPr>
        <w:autoSpaceDN w:val="0"/>
        <w:autoSpaceDE w:val="0"/>
        <w:widowControl/>
        <w:spacing w:line="240" w:lineRule="auto" w:before="34" w:after="2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промежуточной оценки, но ни одна оценка по элементу контроля не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должна весить более 70%.</w:t>
            </w:r>
          </w:p>
        </w:tc>
      </w:tr>
    </w:tbl>
    <w:p>
      <w:pPr>
        <w:autoSpaceDN w:val="0"/>
        <w:autoSpaceDE w:val="0"/>
        <w:widowControl/>
        <w:spacing w:line="10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6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Особые виды Элементов контроля</w:t>
            </w:r>
          </w:p>
        </w:tc>
      </w:tr>
    </w:tbl>
    <w:p>
      <w:pPr>
        <w:autoSpaceDN w:val="0"/>
        <w:autoSpaceDE w:val="0"/>
        <w:widowControl/>
        <w:spacing w:line="269" w:lineRule="auto" w:before="156" w:after="26"/>
        <w:ind w:left="828" w:right="100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Блокирующий Элемент контроля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- при получении неудовлетворительной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оценки по блокирующему элементу контроля промежуточная оценка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целом/результат части формулы расчета промежуточной оценки будет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равна оценке по блокирующему элементу контроля (до получения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студентом положительной оценки по блокирующему элементу контроля). 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6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Элемент контроля имеет вес не менее 30%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- программа дисциплины в</w:t>
            </w:r>
          </w:p>
        </w:tc>
      </w:tr>
    </w:tbl>
    <w:p>
      <w:pPr>
        <w:autoSpaceDN w:val="0"/>
        <w:autoSpaceDE w:val="0"/>
        <w:widowControl/>
        <w:spacing w:line="264" w:lineRule="auto" w:before="26" w:after="26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обязательном порядке должна предусматривать возможность второй сдачи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такого Элемента контроля для студентов, пропустивших его по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68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уважительной причине. 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4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Элемент контроля, который не подлежит пересдаче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- не подлежат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93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пересдаче те элементы контроля, повторить которые невозможно. К таким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элементам контроля относятся участие в дискуссии на семинаре, решение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126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кейса в определенный момент, посещаемость и прочее.</w:t>
            </w:r>
          </w:p>
        </w:tc>
      </w:tr>
    </w:tbl>
    <w:p>
      <w:pPr>
        <w:autoSpaceDN w:val="0"/>
        <w:autoSpaceDE w:val="0"/>
        <w:widowControl/>
        <w:spacing w:line="240" w:lineRule="auto" w:before="662" w:after="17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Экзамены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26"/>
        </w:trPr>
        <w:tc>
          <w:tcPr>
            <w:tcW w:type="dxa" w:w="10066"/>
            <w:tcBorders>
              <w:top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5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Экзамен – последний Элемент контроля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по дисциплине, проводимый в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период сессии либо в течение 10 дней до сессии.  Экзамены в НИУ ВШЭ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преимущественно письменные, но на Ваше усмотрение или по инициативе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департамента они могут быть устными.</w:t>
      </w:r>
    </w:p>
    <w:p>
      <w:pPr>
        <w:autoSpaceDN w:val="0"/>
        <w:autoSpaceDE w:val="0"/>
        <w:widowControl/>
        <w:spacing w:line="240" w:lineRule="auto" w:before="26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Студенты не должны сдавать более одного экзамена в день, а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сам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экзамен не может длиться более 4 академических часов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40" w:lineRule="auto" w:before="26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Дисциплина может не предусматривать экзамен, но рассчитать и выставить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оценку по промежуточной аттестации Вы обязаны. Решение о проведении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экзамена Вы должны принять до начала чтения курса и зафиксировать его в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программе учебной дисциплины.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экзамен проводится в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 письменной форме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то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после проверки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работы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Вы должны рассчитать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оценку по промежуточной аттестации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Если экзамен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проводится в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устной форме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то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Вы вправе сообщить оценку после</w:t>
      </w:r>
    </w:p>
    <w:p>
      <w:pPr>
        <w:autoSpaceDN w:val="0"/>
        <w:autoSpaceDE w:val="0"/>
        <w:widowControl/>
        <w:spacing w:line="240" w:lineRule="auto" w:before="52" w:after="26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окончания ответа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(если методика оценивания не предусматривает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дополнительное время на расчет оценки).</w:t>
            </w:r>
          </w:p>
        </w:tc>
      </w:tr>
    </w:tbl>
    <w:p>
      <w:pPr>
        <w:autoSpaceDN w:val="0"/>
        <w:autoSpaceDE w:val="0"/>
        <w:widowControl/>
        <w:spacing w:line="240" w:lineRule="auto" w:before="670" w:after="152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Зачеты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10824"/>
      </w:tblGrid>
      <w:tr>
        <w:trPr>
          <w:trHeight w:hRule="exact" w:val="135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8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НИУ ВШЭ зачетов нет, за редким исключением. Они предусмотрены по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9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проектной деятельности, трудоемкость которой менее 3 зачетных единиц, 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10"/>
        </w:trPr>
        <w:tc>
          <w:tcPr>
            <w:tcW w:type="dxa" w:w="8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также по дисциплине «Физическая культура»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240" w:lineRule="auto" w:before="0" w:after="154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Ведомости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Рабочая ведомость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ходе чтения курса преподаватель обязаны фиксировать результаты</w:t>
            </w:r>
          </w:p>
        </w:tc>
      </w:tr>
    </w:tbl>
    <w:p>
      <w:pPr>
        <w:autoSpaceDN w:val="0"/>
        <w:autoSpaceDE w:val="0"/>
        <w:widowControl/>
        <w:spacing w:line="259" w:lineRule="auto" w:before="26" w:after="0"/>
        <w:ind w:left="824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 по Элементам текущего контроля в своей рабочей ведомости. Ее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удобно вести в системе SmartLMS. </w:t>
      </w:r>
    </w:p>
    <w:p>
      <w:pPr>
        <w:autoSpaceDN w:val="0"/>
        <w:autoSpaceDE w:val="0"/>
        <w:widowControl/>
        <w:spacing w:line="264" w:lineRule="auto" w:before="66" w:after="34"/>
        <w:ind w:left="824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Форму рабочей ведомости преподаватель может разработать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самостоятельно (если форма рабочей ведомости не установлена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департаментом) и обязан хранить заполненную рабочую ведомость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28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течение трех месяцев после завершения промежуточной аттестации.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2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Ведомость промежуточной аттестации</w:t>
            </w:r>
          </w:p>
        </w:tc>
      </w:tr>
    </w:tbl>
    <w:p>
      <w:pPr>
        <w:autoSpaceDN w:val="0"/>
        <w:autoSpaceDE w:val="0"/>
        <w:widowControl/>
        <w:spacing w:line="257" w:lineRule="auto" w:before="156" w:after="26"/>
        <w:ind w:left="824" w:right="216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Результаты промежуточной аттестации фиксируются в ведомости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промежуточной аттестации, которую формирует учебный офис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образовательной программы перед проведением экзамена.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30"/>
        </w:trPr>
        <w:tc>
          <w:tcPr>
            <w:tcW w:type="dxa" w:w="95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Заполнение ведомостей преподавателями осуществляется с помощью</w:t>
            </w:r>
          </w:p>
        </w:tc>
      </w:tr>
    </w:tbl>
    <w:p>
      <w:pPr>
        <w:autoSpaceDN w:val="0"/>
        <w:autoSpaceDE w:val="0"/>
        <w:widowControl/>
        <w:spacing w:line="271" w:lineRule="auto" w:before="34" w:after="32"/>
        <w:ind w:left="824" w:right="100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6" w:history="1">
          <w:r>
            <w:rPr>
              <w:rStyle w:val="Hyperlink"/>
            </w:rPr>
            <w:t>сервиса электронных ведомостей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Сервис позволяет отказаться от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использования бумажных ведомостей. Обмен данными между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преподавателем, менеджерами образовательных программ 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департаментамов осуществляется в онлайн формате, при этом защита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информации обеспечивается использованием простой цифровой подписи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этапах формирования и утверждения документов. Доступ к сервису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3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осуществляется с личной страницы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7" w:history="1">
                <w:r>
                  <w:rPr>
                    <w:rStyle w:val="Hyperlink"/>
                  </w:rPr>
                  <w:t>https://my.hse.ru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73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18" w:after="0"/>
              <w:ind w:left="632" w:right="244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Заполнение ведомости промежуточной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аттестации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Оценка по дисциплине* выставляется в ведомости промежуточной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04"/>
        </w:trPr>
        <w:tc>
          <w:tcPr>
            <w:tcW w:type="dxa" w:w="97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аттестации в виде выбора числового значения  по 10‑ти балльной шкале,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00" w:after="26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которая подписывается простой электронной подписью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 позднее 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рабочих дней после окончания сессии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58"/>
        </w:trPr>
        <w:tc>
          <w:tcPr>
            <w:tcW w:type="dxa" w:w="96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Если студент получает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«автомат»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то выставляется максимальный балл.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32"/>
        </w:trPr>
        <w:tc>
          <w:tcPr>
            <w:tcW w:type="dxa" w:w="98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Если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студент не пришел на экзамен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то его оценка за экзамен будет равна</w:t>
            </w: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«0». В таком случае Вам необходимо рассчитать и выставить оценку по</w:t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промежуточной аттестации в ведомость (с учетом оценки «0» за экзамен), а</w:t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также сделать в ведомости пометку о неявке. Студент, пропустивший</w:t>
      </w:r>
    </w:p>
    <w:p>
      <w:pPr>
        <w:autoSpaceDN w:val="0"/>
        <w:autoSpaceDE w:val="0"/>
        <w:widowControl/>
        <w:spacing w:line="240" w:lineRule="auto" w:before="66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экзамен по уважительной причине, сможет сдать его в период пересдач.</w:t>
      </w:r>
    </w:p>
    <w:p>
      <w:pPr>
        <w:autoSpaceDN w:val="0"/>
        <w:autoSpaceDE w:val="0"/>
        <w:widowControl/>
        <w:spacing w:line="240" w:lineRule="auto" w:before="52" w:after="26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После, оценка по промежуточной аттестации будет пересчитана с учетом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73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полученной оценки за экзамен. 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506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*Ведомости по КР, ВКР и практикам заполняются в бумажном виде.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Документы к разделу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8" w:history="1">
                <w:r>
                  <w:rPr>
                    <w:rStyle w:val="Hyperlink"/>
                  </w:rPr>
                  <w:t>Положение об организации промежуточной аттестации и текущего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00"/>
        </w:trPr>
        <w:tc>
          <w:tcPr>
            <w:tcW w:type="dxa" w:w="95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8" w:history="1">
                <w:r>
                  <w:rPr>
                    <w:rStyle w:val="Hyperlink"/>
                  </w:rPr>
                  <w:t>контроля успеваемости студентов Национального исследовательского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30"/>
        </w:trPr>
        <w:tc>
          <w:tcPr>
            <w:tcW w:type="dxa" w:w="8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8" w:history="1">
                <w:r>
                  <w:rPr>
                    <w:rStyle w:val="Hyperlink"/>
                  </w:rPr>
                  <w:t>университета «Высшая школа экономики» (ПОПАТКУС)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364" w:after="152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Требования к соблюдению академических норм студентами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2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Соблюдение академических норм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30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Преподаватель должен стремиться к созданию образовательной атмосферы,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34"/>
        </w:trPr>
        <w:tc>
          <w:tcPr>
            <w:tcW w:type="dxa" w:w="95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исключающей нарушение академических норм со стороны студентов.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6"/>
        </w:trPr>
        <w:tc>
          <w:tcPr>
            <w:tcW w:type="dxa" w:w="99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 НИУ ВШЭ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не допускаются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: списывание, двойная сдача письменных работ,</w:t>
            </w:r>
          </w:p>
        </w:tc>
      </w:tr>
    </w:tbl>
    <w:p>
      <w:pPr>
        <w:autoSpaceDN w:val="0"/>
        <w:autoSpaceDE w:val="0"/>
        <w:widowControl/>
        <w:spacing w:line="240" w:lineRule="auto" w:before="24" w:after="26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плагиат, подлоги, фабрикация данных и результатов работы, а также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90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незадекларирование использование генеративных моделей.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34"/>
        </w:trPr>
        <w:tc>
          <w:tcPr>
            <w:tcW w:type="dxa" w:w="98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 нарушение академических норм при выполнении письменных учебных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10"/>
        </w:trPr>
        <w:tc>
          <w:tcPr>
            <w:tcW w:type="dxa" w:w="96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работ или при подготовке к ответу во время устного экзамена (опроса)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6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студенты могут быть подвергнуты дисциплинарному взысканию —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89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замечания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и неудовлетворительной оценки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до отчисления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6"/>
        </w:trPr>
        <w:tc>
          <w:tcPr>
            <w:tcW w:type="dxa" w:w="98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преподаватель обнаружил в работе студента одно из перечисленных</w:t>
            </w:r>
          </w:p>
        </w:tc>
      </w:tr>
    </w:tbl>
    <w:p>
      <w:pPr>
        <w:autoSpaceDN w:val="0"/>
        <w:autoSpaceDE w:val="0"/>
        <w:widowControl/>
        <w:spacing w:line="240" w:lineRule="auto" w:before="24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нарушений, он обязан поставить ему оценку «0» (неудовлетворительно) и</w:t>
      </w:r>
    </w:p>
    <w:p>
      <w:pPr>
        <w:autoSpaceDN w:val="0"/>
        <w:autoSpaceDE w:val="0"/>
        <w:widowControl/>
        <w:spacing w:line="240" w:lineRule="auto" w:before="66" w:after="26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уведомить о произошедшем декана факультета, на образовательной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96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программе которого обучается студент, направив служебную записку. 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94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списывания преподаватель имеет право поставить оценку</w:t>
            </w:r>
          </w:p>
        </w:tc>
      </w:tr>
    </w:tbl>
    <w:p>
      <w:pPr>
        <w:autoSpaceDN w:val="0"/>
        <w:autoSpaceDE w:val="0"/>
        <w:widowControl/>
        <w:spacing w:line="240" w:lineRule="auto" w:before="26" w:after="34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«0» (неудовлетворительно)  и тому студенту, который намеренно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28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предоставил свой текст для списывания.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73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2" w:after="0"/>
              <w:ind w:left="632" w:right="1872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Использование технологий искусственного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интеллекта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НИУ ВШЭ нет запрета на использование технологий искусственного</w:t>
            </w:r>
          </w:p>
        </w:tc>
      </w:tr>
    </w:tbl>
    <w:p>
      <w:pPr>
        <w:autoSpaceDN w:val="0"/>
        <w:autoSpaceDE w:val="0"/>
        <w:widowControl/>
        <w:spacing w:line="240" w:lineRule="auto" w:before="26" w:after="26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интеллекта в учебном процессе. Однако применение таких технологий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6"/>
        </w:trPr>
        <w:tc>
          <w:tcPr>
            <w:tcW w:type="dxa" w:w="98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должно осуществляться с соблюдением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9" w:history="1">
                <w:r>
                  <w:rPr>
                    <w:rStyle w:val="Hyperlink"/>
                  </w:rPr>
                  <w:t>Декларации этических принципов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8"/>
        </w:trPr>
        <w:tc>
          <w:tcPr>
            <w:tcW w:type="dxa" w:w="95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9" w:history="1">
                <w:r>
                  <w:rPr>
                    <w:rStyle w:val="Hyperlink"/>
                  </w:rPr>
                  <w:t>использования искусственного интеллекта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федеральных и локальных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26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нормативных актов.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8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Проверка работ на наличие заимствований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Курсовые и выпускные квалификационные работы, выполненные на</w:t>
            </w:r>
          </w:p>
        </w:tc>
      </w:tr>
    </w:tbl>
    <w:p>
      <w:pPr>
        <w:autoSpaceDN w:val="0"/>
        <w:autoSpaceDE w:val="0"/>
        <w:widowControl/>
        <w:spacing w:line="240" w:lineRule="auto" w:before="26" w:after="32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русском языке, в обязательном порядке проверяются на наличие в них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34"/>
        </w:trPr>
        <w:tc>
          <w:tcPr>
            <w:tcW w:type="dxa" w:w="81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плагиата при помощи системы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0" w:history="1">
                <w:r>
                  <w:rPr>
                    <w:rStyle w:val="Hyperlink"/>
                  </w:rPr>
                  <w:t>«Антиплагиат»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6"/>
        </w:trPr>
        <w:tc>
          <w:tcPr>
            <w:tcW w:type="dxa" w:w="98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Загрузка итоговых файлов студенческих работ для обязательной проверки</w:t>
            </w:r>
          </w:p>
        </w:tc>
      </w:tr>
    </w:tbl>
    <w:p>
      <w:pPr>
        <w:autoSpaceDN w:val="0"/>
        <w:autoSpaceDE w:val="0"/>
        <w:widowControl/>
        <w:spacing w:line="240" w:lineRule="auto" w:before="24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наличие заимствований в тексте осуществляется студентом</w:t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самостоятельно через систему LMS НИУ ВШЭ. Форма загрузки становится</w:t>
      </w:r>
    </w:p>
    <w:p>
      <w:pPr>
        <w:autoSpaceDN w:val="0"/>
        <w:autoSpaceDE w:val="0"/>
        <w:widowControl/>
        <w:spacing w:line="240" w:lineRule="auto" w:before="66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активной для студента при внесении в систему АСАВ утвержденных тем</w:t>
      </w:r>
    </w:p>
    <w:p>
      <w:pPr>
        <w:autoSpaceDN w:val="0"/>
        <w:autoSpaceDE w:val="0"/>
        <w:widowControl/>
        <w:spacing w:line="240" w:lineRule="auto" w:before="52" w:after="26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сотрудниками учебного офиса образовательной программы. Инструкция по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04"/>
        </w:trPr>
        <w:tc>
          <w:tcPr>
            <w:tcW w:type="dxa" w:w="83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загрузке работ студентами размещена по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1" w:history="1">
                <w:r>
                  <w:rPr>
                    <w:rStyle w:val="Hyperlink"/>
                  </w:rPr>
                  <w:t>ссылке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7" w:lineRule="auto" w:before="700" w:after="0"/>
        <w:ind w:left="824" w:right="1728" w:firstLine="0"/>
        <w:jc w:val="left"/>
      </w:pPr>
      <w:r>
        <w:rPr>
          <w:shd w:val="clear" w:color="auto" w:fill="efefef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Подтверждением загрузки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студентом работы на проверку процента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заимствований </w:t>
      </w:r>
      <w:r>
        <w:rPr>
          <w:shd w:val="clear" w:color="auto" w:fill="efefef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является формирование QR-кода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64" w:lineRule="auto" w:before="66" w:after="32"/>
        <w:ind w:left="824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просмотра полного текста загруженной работы, а также просмотра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детального отчета из системы «Антиплагиат.ВУЗ» с указанием заимствований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необходимо использовать мобильный гаджет с доступом в интернет 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4.0" w:type="dxa"/>
      </w:tblPr>
      <w:tblGrid>
        <w:gridCol w:w="10820"/>
      </w:tblGrid>
      <w:tr>
        <w:trPr>
          <w:trHeight w:hRule="exact" w:val="406"/>
        </w:trPr>
        <w:tc>
          <w:tcPr>
            <w:tcW w:type="dxa" w:w="9150"/>
            <w:tcBorders>
              <w:bottom w:sz="6.400000000000091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предустановленным мобильным приложением для считывания QR-кодов.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9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Студенты могут использовать технологии генеративных моделей (текста,</w:t>
            </w:r>
          </w:p>
        </w:tc>
      </w:tr>
    </w:tbl>
    <w:p>
      <w:pPr>
        <w:autoSpaceDN w:val="0"/>
        <w:autoSpaceDE w:val="0"/>
        <w:widowControl/>
        <w:spacing w:line="266" w:lineRule="auto" w:before="26" w:after="0"/>
        <w:ind w:left="824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программного кода, изображения и прочее) в процессе выполнения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учебных работ (письменных или устных) с обязательным указанием 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использования и описанием этого:</w:t>
      </w:r>
    </w:p>
    <w:p>
      <w:pPr>
        <w:autoSpaceDN w:val="0"/>
        <w:autoSpaceDE w:val="0"/>
        <w:widowControl/>
        <w:spacing w:line="271" w:lineRule="auto" w:before="260" w:after="0"/>
        <w:ind w:left="824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 загрузке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2" w:history="1">
          <w:r>
            <w:rPr>
              <w:rStyle w:val="Hyperlink"/>
            </w:rPr>
            <w:t>курсовых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3" w:history="1">
          <w:r>
            <w:rPr>
              <w:rStyle w:val="Hyperlink"/>
            </w:rPr>
            <w:t>выпускных квалификационных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работ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общеуниверситетские сервисы, студент обязан заявить о целях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использования ИИ с указанием конкретной технологии и оценки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успешности ее применения — соответствующие изменения в интерфейсах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загрузки уже появились. Подробнее —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1" w:history="1">
          <w:r>
            <w:rPr>
              <w:rStyle w:val="Hyperlink"/>
            </w:rPr>
            <w:t>Инструкции по загрузке работ 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1" w:history="1">
          <w:r>
            <w:rPr>
              <w:rStyle w:val="Hyperlink"/>
            </w:rPr>
            <w:t>LMS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76" w:lineRule="auto" w:before="246" w:after="0"/>
        <w:ind w:left="824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иных видах учебных работ студенты должны описать, как они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использовали искусственный интеллект, во введении или в заключении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своей работы. Преподаватель может поставить оценку “0” за работу,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которой он усматривает признаки применения ИИ без отдельного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уведомления студента об этом в своей работе. Либо, если использование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ИИ было явно запрещено преподавателем. Подробнее о проверке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студенческих работ на плагиат —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4" w:history="1">
          <w:r>
            <w:rPr>
              <w:rStyle w:val="Hyperlink"/>
            </w:rPr>
            <w:t>статье Справочника учебного процесса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4" w:history="1">
          <w:r>
            <w:rPr>
              <w:rStyle w:val="Hyperlink"/>
            </w:rPr>
            <w:t>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4" w:lineRule="auto" w:before="262" w:after="32"/>
        <w:ind w:left="824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Использование генеративных моделей без указания на это установленным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образом является нарушением академических норм. Применяемая в НИУ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ВШЭ система проверки работ на недопустимые заимствования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4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уже использует плагин для распознавания сгенерированных текстов.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35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6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 вопросам доступа к системе необходимо обращаться на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5" w:history="1">
                <w:r>
                  <w:rPr>
                    <w:rStyle w:val="Hyperlink"/>
                  </w:rPr>
                  <w:t xml:space="preserve"> линию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7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5" w:history="1">
                <w:r>
                  <w:rPr>
                    <w:rStyle w:val="Hyperlink"/>
                  </w:rPr>
                  <w:t>технической поддержки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или к сотрудникам центра сервиса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6" w:history="1">
                <w:r>
                  <w:rPr>
                    <w:rStyle w:val="Hyperlink"/>
                  </w:rPr>
                  <w:t>"Департамент"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10824"/>
      </w:tblGrid>
      <w:tr>
        <w:trPr>
          <w:trHeight w:hRule="exact" w:val="46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Сотрудник НИУ ВШЭ также может проверить работу на наличие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10824"/>
      </w:tblGrid>
      <w:tr>
        <w:trPr>
          <w:trHeight w:hRule="exact" w:val="142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заимствований подав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7" w:history="1">
                <w:r>
                  <w:rPr>
                    <w:rStyle w:val="Hyperlink"/>
                  </w:rPr>
                  <w:t>заявку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через Единый личный кабинет.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10824"/>
      </w:tblGrid>
      <w:tr>
        <w:trPr>
          <w:trHeight w:hRule="exact" w:val="128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2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Документы к разделу</w:t>
            </w:r>
          </w:p>
        </w:tc>
      </w:tr>
    </w:tbl>
    <w:p>
      <w:pPr>
        <w:autoSpaceDN w:val="0"/>
        <w:autoSpaceDE w:val="0"/>
        <w:widowControl/>
        <w:spacing w:line="266" w:lineRule="auto" w:before="154" w:after="0"/>
        <w:ind w:left="828" w:right="158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Положение об организации промежуточной аттестации и текущего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контроля успеваемости студентов Национального исследовательского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университета «Высшая школа экономики» (ПОПАТКУС)</w:t>
          </w:r>
        </w:hyperlink>
      </w:r>
    </w:p>
    <w:p>
      <w:pPr>
        <w:autoSpaceDN w:val="0"/>
        <w:autoSpaceDE w:val="0"/>
        <w:widowControl/>
        <w:spacing w:line="257" w:lineRule="auto" w:before="262" w:after="0"/>
        <w:ind w:left="828" w:right="230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8" w:history="1">
          <w:r>
            <w:rPr>
              <w:rStyle w:val="Hyperlink"/>
            </w:rPr>
            <w:t>Правила внутреннего распорядка обучающихся Национального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8" w:history="1">
          <w:r>
            <w:rPr>
              <w:rStyle w:val="Hyperlink"/>
            </w:rPr>
            <w:t>исследовательского университета «Высшая школа экономики»</w:t>
          </w:r>
        </w:hyperlink>
      </w:r>
    </w:p>
    <w:p>
      <w:pPr>
        <w:autoSpaceDN w:val="0"/>
        <w:autoSpaceDE w:val="0"/>
        <w:widowControl/>
        <w:spacing w:line="274" w:lineRule="auto" w:before="262" w:after="26"/>
        <w:ind w:left="828" w:right="115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9" w:history="1">
          <w:r>
            <w:rPr>
              <w:rStyle w:val="Hyperlink"/>
            </w:rPr>
            <w:t>Регламент организации проверки письменных учебных работ на наличие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9" w:history="1">
          <w:r>
            <w:rPr>
              <w:rStyle w:val="Hyperlink"/>
            </w:rPr>
            <w:t>плагиата, использования генеративных моделей и размещения выпускных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9" w:history="1">
          <w:r>
            <w:rPr>
              <w:rStyle w:val="Hyperlink"/>
            </w:rPr>
            <w:t>квалификационных работ обучающихся по программам бакалавриата,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9" w:history="1">
          <w:r>
            <w:rPr>
              <w:rStyle w:val="Hyperlink"/>
            </w:rPr>
            <w:t>специалитета и магистратуры на корпоративном сайте (портале)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9" w:history="1">
          <w:r>
            <w:rPr>
              <w:rStyle w:val="Hyperlink"/>
            </w:rPr>
            <w:t>Национального исследовательского университета «Высшая школа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10824"/>
      </w:tblGrid>
      <w:tr>
        <w:trPr>
          <w:trHeight w:hRule="exact" w:val="1236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9" w:history="1">
                <w:r>
                  <w:rPr>
                    <w:rStyle w:val="Hyperlink"/>
                  </w:rPr>
                  <w:t>экономики»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552" w:after="17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Апелляция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26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 может подать апелляцию на результаты блокирующих элементов</w:t>
            </w:r>
          </w:p>
        </w:tc>
      </w:tr>
    </w:tbl>
    <w:p>
      <w:pPr>
        <w:autoSpaceDN w:val="0"/>
        <w:autoSpaceDE w:val="0"/>
        <w:widowControl/>
        <w:spacing w:line="240" w:lineRule="auto" w:before="34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контроля и (или) экзаменов, при этом апелляция в связи 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неудовлетворенностью оценкой не принимается.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6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Основаниями для подачи апелляции могут быть некорректность в</w:t>
            </w:r>
          </w:p>
        </w:tc>
      </w:tr>
    </w:tbl>
    <w:p>
      <w:pPr>
        <w:autoSpaceDN w:val="0"/>
        <w:autoSpaceDE w:val="0"/>
        <w:widowControl/>
        <w:spacing w:line="269" w:lineRule="auto" w:before="24" w:after="32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постановке вопросов, ошибки в формулировках задач и тестовых заданий,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нарушение процедуры проведения элемента контроля или методики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выставления оценки за работу, а также обстоятельства, которые помешали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преподавателю объективно оценить работу. Конкретные основания для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20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апелляции должны быть обязательно отражены в заявлении.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Апелляционная комиссия проводит заседание в присутствии студента и</w:t>
            </w:r>
          </w:p>
        </w:tc>
      </w:tr>
    </w:tbl>
    <w:p>
      <w:pPr>
        <w:autoSpaceDN w:val="0"/>
        <w:autoSpaceDE w:val="0"/>
        <w:widowControl/>
        <w:spacing w:line="274" w:lineRule="auto" w:before="26" w:after="0"/>
        <w:ind w:left="828" w:right="100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преподавателя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принимавшего элемент контроля или его пересдачу.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заседании также может присутствовать один представитель Студенческого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совета факультета, на котором обучается студент/Студенческого совета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университета (при отсутствии Студенческого совета факультета)/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Студенческого совета филиала (для студентов филиалов НИУ ВШЭ)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предварительному согласованию с председателем апелляционной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комиссии.</w:t>
      </w:r>
    </w:p>
    <w:p>
      <w:pPr>
        <w:autoSpaceDN w:val="0"/>
        <w:autoSpaceDE w:val="0"/>
        <w:widowControl/>
        <w:spacing w:line="266" w:lineRule="auto" w:before="262" w:after="0"/>
        <w:ind w:left="828" w:right="144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Важно: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Неявка студента и (или) преподавателя, принимавшего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блокирующий Элемент контроля или его пересдачу, не препятствует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рассмотрению апелляции. </w:t>
      </w:r>
    </w:p>
    <w:p>
      <w:pPr>
        <w:autoSpaceDN w:val="0"/>
        <w:autoSpaceDE w:val="0"/>
        <w:widowControl/>
        <w:spacing w:line="269" w:lineRule="auto" w:before="260" w:after="26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апелляция удовлетворена, студенту предоставляется возможность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повторной сдачи или пересдачи блокирующего элемента контроля. Если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блокирующий элемент контроля проводился письменно и характер заданий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ответов в такой работе позволяет выставить новую оценку, то по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126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результатам апелляции студенту выставляется обновленная оценка.</w:t>
            </w:r>
          </w:p>
        </w:tc>
      </w:tr>
    </w:tbl>
    <w:p>
      <w:pPr>
        <w:autoSpaceDN w:val="0"/>
        <w:autoSpaceDE w:val="0"/>
        <w:widowControl/>
        <w:spacing w:line="240" w:lineRule="auto" w:before="662" w:after="17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Пересдачи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36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7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НИУ ВШЭ не разрешается пересдавать положительные оценки с целью их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повышения, поэтому пересдаче подлежат только оценки ниже «4».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516"/>
        </w:trPr>
        <w:tc>
          <w:tcPr>
            <w:tcW w:type="dxa" w:w="9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Пересдачи проводятся в строго отведенное для этого время:</w:t>
            </w:r>
          </w:p>
        </w:tc>
      </w:tr>
      <w:tr>
        <w:trPr>
          <w:trHeight w:hRule="exact" w:val="600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после 2 модуля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- с 10 января до 15 февраля;</w:t>
            </w:r>
          </w:p>
        </w:tc>
      </w:tr>
      <w:tr>
        <w:trPr>
          <w:trHeight w:hRule="exact" w:val="494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после 4 модуля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- с 1 сентября будущего учебного года до 15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0824"/>
      </w:tblGrid>
      <w:tr>
        <w:trPr>
          <w:trHeight w:hRule="exact" w:val="424"/>
        </w:trPr>
        <w:tc>
          <w:tcPr>
            <w:tcW w:type="dxa" w:w="59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октября.</w:t>
            </w:r>
          </w:p>
        </w:tc>
      </w:tr>
    </w:tbl>
    <w:p>
      <w:pPr>
        <w:autoSpaceDN w:val="0"/>
        <w:autoSpaceDE w:val="0"/>
        <w:widowControl/>
        <w:spacing w:line="5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60"/>
        </w:trPr>
        <w:tc>
          <w:tcPr>
            <w:tcW w:type="dxa" w:w="9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Важно: </w:t>
            </w: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В другое время проводить пересдачи категорически запрещено.</w:t>
            </w:r>
          </w:p>
        </w:tc>
      </w:tr>
    </w:tbl>
    <w:p>
      <w:pPr>
        <w:autoSpaceDN w:val="0"/>
        <w:autoSpaceDE w:val="0"/>
        <w:widowControl/>
        <w:spacing w:line="5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40"/>
        </w:trPr>
        <w:tc>
          <w:tcPr>
            <w:tcW w:type="dxa" w:w="7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 имеет право на две пересдачи: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940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Первая пересдача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проводится точно в таком же формате, как и сам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76"/>
        </w:trPr>
        <w:tc>
          <w:tcPr>
            <w:tcW w:type="dxa" w:w="1020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элемент контроля.</w:t>
            </w:r>
          </w:p>
        </w:tc>
      </w:tr>
      <w:tr>
        <w:trPr>
          <w:trHeight w:hRule="exact" w:val="506"/>
        </w:trPr>
        <w:tc>
          <w:tcPr>
            <w:tcW w:type="dxa" w:w="144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7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Вторая пересдача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принимается комиссией из трех или более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2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преподавателей.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комиссию обязательно включается преподаватель, который принимал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экзамен у студента первый раз.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8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Процедура второй пересдачи проводится по контрольно-измерительным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2"/>
        </w:trPr>
        <w:tc>
          <w:tcPr>
            <w:tcW w:type="dxa" w:w="9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материалам для пересдач, разработанным председателем комиссии.</w:t>
            </w:r>
          </w:p>
        </w:tc>
      </w:tr>
    </w:tbl>
    <w:p>
      <w:pPr>
        <w:autoSpaceDN w:val="0"/>
        <w:autoSpaceDE w:val="0"/>
        <w:widowControl/>
        <w:spacing w:line="240" w:lineRule="auto" w:before="1364" w:after="156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Зачетная книжка студента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36"/>
        </w:trPr>
        <w:tc>
          <w:tcPr>
            <w:tcW w:type="dxa" w:w="10066"/>
            <w:tcBorders>
              <w:top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Преподаватель выставляет оценки студентов в электронную</w:t>
            </w:r>
          </w:p>
        </w:tc>
      </w:tr>
    </w:tbl>
    <w:p>
      <w:pPr>
        <w:autoSpaceDN w:val="0"/>
        <w:autoSpaceDE w:val="0"/>
        <w:widowControl/>
        <w:spacing w:line="240" w:lineRule="auto" w:before="24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ведомость, после подписания которой оценки автоматически заносятся в</w:t>
      </w:r>
    </w:p>
    <w:p>
      <w:pPr>
        <w:autoSpaceDN w:val="0"/>
        <w:autoSpaceDE w:val="0"/>
        <w:widowControl/>
        <w:spacing w:line="240" w:lineRule="auto" w:before="52" w:after="26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систему хранения результатов обучения и становятся доступны студенту в их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32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0" w:history="1">
                <w:r>
                  <w:rPr>
                    <w:rStyle w:val="Hyperlink"/>
                  </w:rPr>
                  <w:t>электронной зачетной книжке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 Бумажных зачеток в НИУ ВШЭ нет.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0"/>
        </w:trPr>
        <w:tc>
          <w:tcPr>
            <w:tcW w:type="dxa" w:w="98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Вам интересно, как учится тот или иной студент, Вы можете получить</w:t>
            </w:r>
          </w:p>
        </w:tc>
      </w:tr>
    </w:tbl>
    <w:p>
      <w:pPr>
        <w:autoSpaceDN w:val="0"/>
        <w:autoSpaceDE w:val="0"/>
        <w:widowControl/>
        <w:spacing w:line="240" w:lineRule="auto" w:before="34" w:after="2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информацию о его успеваемости в модуле «Портфолио студента» в личном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кабинете системы LMS.</w:t>
            </w:r>
          </w:p>
        </w:tc>
      </w:tr>
    </w:tbl>
    <w:p>
      <w:pPr>
        <w:autoSpaceDN w:val="0"/>
        <w:autoSpaceDE w:val="0"/>
        <w:widowControl/>
        <w:spacing w:line="240" w:lineRule="auto" w:before="670" w:after="172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Рейтинг студентов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28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Вышке существует рейтинговая система оценки уровня знаний студентов,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6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которая предполагает два вида рейтинга – текущий (за полгода) 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0"/>
        </w:trPr>
        <w:tc>
          <w:tcPr>
            <w:tcW w:type="dxa" w:w="96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кумулятивный (по итогам всей учебы студента с момента поступления).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6"/>
        </w:trPr>
        <w:tc>
          <w:tcPr>
            <w:tcW w:type="dxa" w:w="94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Рейтинги находятся в открытом доступе на сайтах образовательных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4"/>
        </w:trPr>
        <w:tc>
          <w:tcPr>
            <w:tcW w:type="dxa" w:w="89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программ (например: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1" w:history="1">
                <w:r>
                  <w:rPr>
                    <w:rStyle w:val="Hyperlink"/>
                  </w:rPr>
                  <w:t>https://www.hse.ru/ba/political/ratings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6"/>
        </w:trPr>
        <w:tc>
          <w:tcPr>
            <w:tcW w:type="dxa" w:w="97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Рейтинг отражает за определенный промежуток времени относительную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4"/>
        </w:trPr>
        <w:tc>
          <w:tcPr>
            <w:tcW w:type="dxa" w:w="94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успеваемость студентов обучающихся на одном курсе одной обра­‐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зовательной программы.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 итогам рейтинга студенты получают определенные привилегии на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8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следующий год (например стипендию или скидку по оплате обучения, если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0"/>
        </w:trPr>
        <w:tc>
          <w:tcPr>
            <w:tcW w:type="dxa" w:w="98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 учится на платном месте). Место в рейтинге также может повлиять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44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на возможность перехода с платного места обучения на бесплатное. </w:t>
            </w:r>
          </w:p>
        </w:tc>
      </w:tr>
    </w:tbl>
    <w:p>
      <w:pPr>
        <w:autoSpaceDN w:val="0"/>
        <w:autoSpaceDE w:val="0"/>
        <w:widowControl/>
        <w:spacing w:line="6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622"/>
        </w:trPr>
        <w:tc>
          <w:tcPr>
            <w:tcW w:type="dxa" w:w="7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Документы к разделу</w:t>
            </w:r>
          </w:p>
        </w:tc>
      </w:tr>
    </w:tbl>
    <w:p>
      <w:pPr>
        <w:autoSpaceDN w:val="0"/>
        <w:autoSpaceDE w:val="0"/>
        <w:widowControl/>
        <w:spacing w:line="264" w:lineRule="auto" w:before="156" w:after="0"/>
        <w:ind w:left="828" w:right="86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52" w:history="1">
          <w:r>
            <w:rPr>
              <w:rStyle w:val="Hyperlink"/>
            </w:rPr>
            <w:t>Положение о комплексной системе сравнения результатов обучения</w:t>
          </w:r>
        </w:hyperlink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52" w:history="1">
          <w:r>
            <w:rPr>
              <w:rStyle w:val="Hyperlink"/>
            </w:rPr>
            <w:t>студентов образовательных программ высшего образования Национального</w:t>
          </w:r>
        </w:hyperlink>
      </w:r>
    </w:p>
    <w:p>
      <w:pPr>
        <w:autoSpaceDN w:val="0"/>
        <w:autoSpaceDE w:val="0"/>
        <w:widowControl/>
        <w:spacing w:line="240" w:lineRule="auto" w:before="0" w:after="1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3708400</wp:posOffset>
            </wp:positionV>
            <wp:extent cx="5803900" cy="25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0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2" w:history="1">
                <w:r>
                  <w:rPr>
                    <w:rStyle w:val="Hyperlink"/>
                  </w:rPr>
                  <w:t>исследовательского университета «Высшая школа экономики»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182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5194300</wp:posOffset>
            </wp:positionV>
            <wp:extent cx="508000" cy="2413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5575300</wp:posOffset>
            </wp:positionV>
            <wp:extent cx="1346200" cy="317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6076950</wp:posOffset>
            </wp:positionV>
            <wp:extent cx="228600" cy="2286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5" w:lineRule="auto" w:before="978" w:after="0"/>
        <w:ind w:left="304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7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Противодействие коррупции</w:t>
          </w:r>
        </w:hyperlink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7200900</wp:posOffset>
            </wp:positionV>
            <wp:extent cx="6877050" cy="308467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0846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186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2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85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1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2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3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94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5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6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7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8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9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0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4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26" w:lineRule="auto" w:before="184" w:after="0"/>
        <w:ind w:left="300" w:right="619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1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2" w:history="1">
          <w:r>
            <w:rPr>
              <w:rStyle w:val="Hyperlink"/>
            </w:rPr>
            <w:t>Министерство просвещения РФ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427990</wp:posOffset>
            </wp:positionV>
            <wp:extent cx="6877050" cy="149790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4979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4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5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38" w:lineRule="auto" w:before="16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106" w:history="1">
          <w:r>
            <w:rPr>
              <w:rStyle w:val="Hyperlink"/>
            </w:rPr>
            <w:t>Редактору</w:t>
          </w:r>
        </w:hyperlink>
      </w:r>
    </w:p>
    <w:p>
      <w:pPr>
        <w:autoSpaceDN w:val="0"/>
        <w:autoSpaceDE w:val="0"/>
        <w:widowControl/>
        <w:spacing w:line="269" w:lineRule="auto" w:before="72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7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8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9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0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1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hyperlink" Target="https://www.hse.ru/data/xf/567/767/2001/6.18-01_030625-1.docx" TargetMode="External"/><Relationship Id="rId13" Type="http://schemas.openxmlformats.org/officeDocument/2006/relationships/hyperlink" Target="https://www.hse.ru/docs/1053199965.html" TargetMode="External"/><Relationship Id="rId14" Type="http://schemas.openxmlformats.org/officeDocument/2006/relationships/hyperlink" Target="https://www.hse.ru/docs/1053201489.html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www.hse.ru/docs/1053214365.html" TargetMode="External"/><Relationship Id="rId17" Type="http://schemas.openxmlformats.org/officeDocument/2006/relationships/hyperlink" Target="https://www.hse.ru/mirror/pubs/share/1083088325" TargetMode="External"/><Relationship Id="rId18" Type="http://schemas.openxmlformats.org/officeDocument/2006/relationships/hyperlink" Target="https://www.hse.ru/docs/1053202585.html" TargetMode="External"/><Relationship Id="rId19" Type="http://schemas.openxmlformats.org/officeDocument/2006/relationships/hyperlink" Target="https://www.hse.ru/docs/1053183546.html" TargetMode="External"/><Relationship Id="rId20" Type="http://schemas.openxmlformats.org/officeDocument/2006/relationships/image" Target="media/image2.png"/><Relationship Id="rId21" Type="http://schemas.openxmlformats.org/officeDocument/2006/relationships/hyperlink" Target="https://www.hse.ru/mirror/pubs/share/1083055290.docx" TargetMode="Externa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yperlink" Target="https://www.hse.ru/mirror/pubs/share/1091005932.pdf" TargetMode="External"/><Relationship Id="rId25" Type="http://schemas.openxmlformats.org/officeDocument/2006/relationships/hyperlink" Target="https://www.hse.ru/studyspravka/grafik" TargetMode="External"/><Relationship Id="rId26" Type="http://schemas.openxmlformats.org/officeDocument/2006/relationships/hyperlink" Target="https://www.hse.ru/studyspravka/RUP/" TargetMode="External"/><Relationship Id="rId27" Type="http://schemas.openxmlformats.org/officeDocument/2006/relationships/hyperlink" Target="https://www.hse.ru/studyspravka/Scale" TargetMode="External"/><Relationship Id="rId28" Type="http://schemas.openxmlformats.org/officeDocument/2006/relationships/hyperlink" Target="https://www.hse.ru/studyspravka/programmauchdisc" TargetMode="External"/><Relationship Id="rId29" Type="http://schemas.openxmlformats.org/officeDocument/2006/relationships/hyperlink" Target="http://www.hse.ru/studyspravka/programmauchdisc" TargetMode="External"/><Relationship Id="rId30" Type="http://schemas.openxmlformats.org/officeDocument/2006/relationships/hyperlink" Target="https://electives.hse.ru/MN_OI" TargetMode="External"/><Relationship Id="rId31" Type="http://schemas.openxmlformats.org/officeDocument/2006/relationships/hyperlink" Target="https://www.hse.ru/org/hse/elective_courses/mg_oi" TargetMode="External"/><Relationship Id="rId32" Type="http://schemas.openxmlformats.org/officeDocument/2006/relationships/hyperlink" Target="https://www.hse.ru/org/hse/elective_courses/OF_GI" TargetMode="External"/><Relationship Id="rId33" Type="http://schemas.openxmlformats.org/officeDocument/2006/relationships/hyperlink" Target="https://www.hse.ru/edu/courses/" TargetMode="External"/><Relationship Id="rId34" Type="http://schemas.openxmlformats.org/officeDocument/2006/relationships/hyperlink" Target="https://www.hse.ru/docs/289423580.html" TargetMode="External"/><Relationship Id="rId35" Type="http://schemas.openxmlformats.org/officeDocument/2006/relationships/hyperlink" Target="https://www.hse.ru/studyspravka/prof_25_course" TargetMode="External"/><Relationship Id="rId36" Type="http://schemas.openxmlformats.org/officeDocument/2006/relationships/hyperlink" Target="https://www.hse.ru/studyspravka/sev_info" TargetMode="External"/><Relationship Id="rId37" Type="http://schemas.openxmlformats.org/officeDocument/2006/relationships/hyperlink" Target="https://my.hse.ru/marketplace/public/open?cabinetId=teacher_sev" TargetMode="External"/><Relationship Id="rId38" Type="http://schemas.openxmlformats.org/officeDocument/2006/relationships/hyperlink" Target="https://www.hse.ru/studyspravka/new_regulations" TargetMode="External"/><Relationship Id="rId39" Type="http://schemas.openxmlformats.org/officeDocument/2006/relationships/hyperlink" Target="https://www.hse.ru/docs/969670638.html" TargetMode="External"/><Relationship Id="rId40" Type="http://schemas.openxmlformats.org/officeDocument/2006/relationships/hyperlink" Target="https://antiplagiat.ru/" TargetMode="External"/><Relationship Id="rId41" Type="http://schemas.openxmlformats.org/officeDocument/2006/relationships/hyperlink" Target="https://www.hse.ru/studyspravka/instpaliat" TargetMode="External"/><Relationship Id="rId42" Type="http://schemas.openxmlformats.org/officeDocument/2006/relationships/hyperlink" Target="https://www.hse.ru/studyspravka/kursovrab" TargetMode="External"/><Relationship Id="rId43" Type="http://schemas.openxmlformats.org/officeDocument/2006/relationships/hyperlink" Target="https://www.hse.ru/studyspravka/vkr" TargetMode="External"/><Relationship Id="rId44" Type="http://schemas.openxmlformats.org/officeDocument/2006/relationships/hyperlink" Target="https://www.hse.ru/studyspravka/plagiat" TargetMode="External"/><Relationship Id="rId45" Type="http://schemas.openxmlformats.org/officeDocument/2006/relationships/hyperlink" Target="https://www.hse.ru/org/hse/antiplagiat_info/registration" TargetMode="External"/><Relationship Id="rId46" Type="http://schemas.openxmlformats.org/officeDocument/2006/relationships/hyperlink" Target="https://departmentcentre.hse.ru/" TargetMode="External"/><Relationship Id="rId47" Type="http://schemas.openxmlformats.org/officeDocument/2006/relationships/hyperlink" Target="https://bpm.hse.ru/Runtime/Runtime/Form/ANIR__f__Review/" TargetMode="External"/><Relationship Id="rId48" Type="http://schemas.openxmlformats.org/officeDocument/2006/relationships/hyperlink" Target="https://www.hse.ru/docs/187025700.html" TargetMode="External"/><Relationship Id="rId49" Type="http://schemas.openxmlformats.org/officeDocument/2006/relationships/hyperlink" Target="https://www.hse.ru/docs/922831988.html" TargetMode="External"/><Relationship Id="rId50" Type="http://schemas.openxmlformats.org/officeDocument/2006/relationships/hyperlink" Target="https://www.hse.ru/studyspravka/zachetbook" TargetMode="External"/><Relationship Id="rId51" Type="http://schemas.openxmlformats.org/officeDocument/2006/relationships/hyperlink" Target="https://www.hse.ru/ba/political/ratings" TargetMode="External"/><Relationship Id="rId52" Type="http://schemas.openxmlformats.org/officeDocument/2006/relationships/hyperlink" Target="https://www.hse.ru/docs/1043432520.html" TargetMode="External"/><Relationship Id="rId53" Type="http://schemas.openxmlformats.org/officeDocument/2006/relationships/image" Target="media/image5.png"/><Relationship Id="rId54" Type="http://schemas.openxmlformats.org/officeDocument/2006/relationships/image" Target="media/image6.png"/><Relationship Id="rId55" Type="http://schemas.openxmlformats.org/officeDocument/2006/relationships/image" Target="media/image7.png"/><Relationship Id="rId56" Type="http://schemas.openxmlformats.org/officeDocument/2006/relationships/image" Target="media/image8.png"/><Relationship Id="rId57" Type="http://schemas.openxmlformats.org/officeDocument/2006/relationships/hyperlink" Target="https://www.hse.ru/org/hse/info/" TargetMode="External"/><Relationship Id="rId58" Type="http://schemas.openxmlformats.org/officeDocument/2006/relationships/hyperlink" Target="https://figures.hse.ru/" TargetMode="External"/><Relationship Id="rId59" Type="http://schemas.openxmlformats.org/officeDocument/2006/relationships/hyperlink" Target="https://www.hse.ru/orgstructure/" TargetMode="External"/><Relationship Id="rId60" Type="http://schemas.openxmlformats.org/officeDocument/2006/relationships/hyperlink" Target="https://sustainability.hse.ru/" TargetMode="External"/><Relationship Id="rId61" Type="http://schemas.openxmlformats.org/officeDocument/2006/relationships/hyperlink" Target="https://www.hse.ru/org/persons/" TargetMode="External"/><Relationship Id="rId62" Type="http://schemas.openxmlformats.org/officeDocument/2006/relationships/hyperlink" Target="https://www.hse.ru/buildinghse" TargetMode="External"/><Relationship Id="rId63" Type="http://schemas.openxmlformats.org/officeDocument/2006/relationships/hyperlink" Target="https://www.hse.ru/org/hse/aup/procurement/" TargetMode="External"/><Relationship Id="rId64" Type="http://schemas.openxmlformats.org/officeDocument/2006/relationships/hyperlink" Target="https://www.hse.ru/appeal/" TargetMode="External"/><Relationship Id="rId65" Type="http://schemas.openxmlformats.org/officeDocument/2006/relationships/hyperlink" Target="https://endowment.hse.ru/" TargetMode="External"/><Relationship Id="rId66" Type="http://schemas.openxmlformats.org/officeDocument/2006/relationships/hyperlink" Target="https://www.hse.ru/anticorruption" TargetMode="External"/><Relationship Id="rId67" Type="http://schemas.openxmlformats.org/officeDocument/2006/relationships/hyperlink" Target="https://www.hse.ru/anticorruption/information" TargetMode="External"/><Relationship Id="rId68" Type="http://schemas.openxmlformats.org/officeDocument/2006/relationships/hyperlink" Target="https://www.hse.ru/sveden/" TargetMode="External"/><Relationship Id="rId69" Type="http://schemas.openxmlformats.org/officeDocument/2006/relationships/hyperlink" Target="https://inclusive.hse.ru/" TargetMode="External"/><Relationship Id="rId70" Type="http://schemas.openxmlformats.org/officeDocument/2006/relationships/hyperlink" Target="https://pay.hse.ru/" TargetMode="External"/><Relationship Id="rId71" Type="http://schemas.openxmlformats.org/officeDocument/2006/relationships/hyperlink" Target="https://www.hse.ru/career" TargetMode="External"/><Relationship Id="rId72" Type="http://schemas.openxmlformats.org/officeDocument/2006/relationships/hyperlink" Target="https://www.hse.ru/education/" TargetMode="External"/><Relationship Id="rId73" Type="http://schemas.openxmlformats.org/officeDocument/2006/relationships/hyperlink" Target="https://school.hse.ru/" TargetMode="External"/><Relationship Id="rId74" Type="http://schemas.openxmlformats.org/officeDocument/2006/relationships/hyperlink" Target="https://fdp.hse.ru/" TargetMode="External"/><Relationship Id="rId75" Type="http://schemas.openxmlformats.org/officeDocument/2006/relationships/hyperlink" Target="https://olymp.hse.ru/" TargetMode="External"/><Relationship Id="rId76" Type="http://schemas.openxmlformats.org/officeDocument/2006/relationships/hyperlink" Target="https://ba.hse.ru/" TargetMode="External"/><Relationship Id="rId77" Type="http://schemas.openxmlformats.org/officeDocument/2006/relationships/hyperlink" Target="https://www.hse.ru/plus" TargetMode="External"/><Relationship Id="rId78" Type="http://schemas.openxmlformats.org/officeDocument/2006/relationships/hyperlink" Target="https://ma.hse.ru/" TargetMode="External"/><Relationship Id="rId79" Type="http://schemas.openxmlformats.org/officeDocument/2006/relationships/hyperlink" Target="https://aspirantura.hse.ru/" TargetMode="External"/><Relationship Id="rId80" Type="http://schemas.openxmlformats.org/officeDocument/2006/relationships/hyperlink" Target="https://busedu.hse.ru/" TargetMode="External"/><Relationship Id="rId81" Type="http://schemas.openxmlformats.org/officeDocument/2006/relationships/hyperlink" Target="https://career.hse.ru/" TargetMode="External"/><Relationship Id="rId82" Type="http://schemas.openxmlformats.org/officeDocument/2006/relationships/hyperlink" Target="http://inc.hse.ru/" TargetMode="External"/><Relationship Id="rId83" Type="http://schemas.openxmlformats.org/officeDocument/2006/relationships/hyperlink" Target="https://dd.hse.ru/" TargetMode="External"/><Relationship Id="rId84" Type="http://schemas.openxmlformats.org/officeDocument/2006/relationships/hyperlink" Target="https://www.hse.ru/feedback" TargetMode="External"/><Relationship Id="rId85" Type="http://schemas.openxmlformats.org/officeDocument/2006/relationships/hyperlink" Target="https://www.hse.ru/science/" TargetMode="External"/><Relationship Id="rId86" Type="http://schemas.openxmlformats.org/officeDocument/2006/relationships/hyperlink" Target="https://www.hse.ru/science/centers" TargetMode="External"/><Relationship Id="rId87" Type="http://schemas.openxmlformats.org/officeDocument/2006/relationships/hyperlink" Target="https://www.hse.ru/org/projects/" TargetMode="External"/><Relationship Id="rId88" Type="http://schemas.openxmlformats.org/officeDocument/2006/relationships/hyperlink" Target="https://www.hse.ru/monitoring/" TargetMode="External"/><Relationship Id="rId89" Type="http://schemas.openxmlformats.org/officeDocument/2006/relationships/hyperlink" Target="https://www.hse.ru/science/disscoun/" TargetMode="External"/><Relationship Id="rId90" Type="http://schemas.openxmlformats.org/officeDocument/2006/relationships/hyperlink" Target="https://aspirantura.hse.ru/defence/announcements/" TargetMode="External"/><Relationship Id="rId91" Type="http://schemas.openxmlformats.org/officeDocument/2006/relationships/hyperlink" Target="https://academics.hse.ru/" TargetMode="External"/><Relationship Id="rId92" Type="http://schemas.openxmlformats.org/officeDocument/2006/relationships/hyperlink" Target="https://www.hse.ru/science/hsegrants" TargetMode="External"/><Relationship Id="rId93" Type="http://schemas.openxmlformats.org/officeDocument/2006/relationships/hyperlink" Target="https://sezam.hse.ru/" TargetMode="External"/><Relationship Id="rId94" Type="http://schemas.openxmlformats.org/officeDocument/2006/relationships/hyperlink" Target="https://publications.hse.ru/" TargetMode="External"/><Relationship Id="rId95" Type="http://schemas.openxmlformats.org/officeDocument/2006/relationships/hyperlink" Target="https://library.hse.ru/" TargetMode="External"/><Relationship Id="rId96" Type="http://schemas.openxmlformats.org/officeDocument/2006/relationships/hyperlink" Target="https://id.hse.ru/" TargetMode="External"/><Relationship Id="rId97" Type="http://schemas.openxmlformats.org/officeDocument/2006/relationships/hyperlink" Target="https://bookshop.hse.ru/" TargetMode="External"/><Relationship Id="rId98" Type="http://schemas.openxmlformats.org/officeDocument/2006/relationships/hyperlink" Target="https://print.hse.ru/" TargetMode="External"/><Relationship Id="rId99" Type="http://schemas.openxmlformats.org/officeDocument/2006/relationships/hyperlink" Target="https://mc.hse.ru/" TargetMode="External"/><Relationship Id="rId100" Type="http://schemas.openxmlformats.org/officeDocument/2006/relationships/hyperlink" Target="https://www.hse.ru/science/journals" TargetMode="External"/><Relationship Id="rId101" Type="http://schemas.openxmlformats.org/officeDocument/2006/relationships/hyperlink" Target="http://www.minobrnauki.gov.ru/" TargetMode="External"/><Relationship Id="rId102" Type="http://schemas.openxmlformats.org/officeDocument/2006/relationships/hyperlink" Target="https://edu.gov.ru/" TargetMode="External"/><Relationship Id="rId103" Type="http://schemas.openxmlformats.org/officeDocument/2006/relationships/image" Target="media/image9.png"/><Relationship Id="rId104" Type="http://schemas.openxmlformats.org/officeDocument/2006/relationships/hyperlink" Target="http://www.edu.ru/" TargetMode="External"/><Relationship Id="rId105" Type="http://schemas.openxmlformats.org/officeDocument/2006/relationships/hyperlink" Target="https://elearning.hse.ru/mooc" TargetMode="External"/><Relationship Id="rId106" Type="http://schemas.openxmlformats.org/officeDocument/2006/relationships/hyperlink" Target="https://www.hse.ru/adm/edit/edit.html?goto=%2AL3N0dWR5c3ByYXZrYS9wZXJzP19yPTM2MjIxNDUxNzc1MDgxMjYwLjE3OTEy%5E&amp;id=36189084&amp;cid=20594&amp;addon_name=default&amp;newportal=1" TargetMode="External"/><Relationship Id="rId107" Type="http://schemas.openxmlformats.org/officeDocument/2006/relationships/hyperlink" Target="https://www.hse.ru/contacts.html" TargetMode="External"/><Relationship Id="rId108" Type="http://schemas.openxmlformats.org/officeDocument/2006/relationships/hyperlink" Target="https://www.hse.ru/copyright" TargetMode="External"/><Relationship Id="rId109" Type="http://schemas.openxmlformats.org/officeDocument/2006/relationships/hyperlink" Target="https://www.hse.ru/data_protection_regulation" TargetMode="External"/><Relationship Id="rId110" Type="http://schemas.openxmlformats.org/officeDocument/2006/relationships/hyperlink" Target="https://www.hse.ru/sitemap.html" TargetMode="External"/><Relationship Id="rId111" Type="http://schemas.openxmlformats.org/officeDocument/2006/relationships/hyperlink" Target="https://design.hse.ru/" TargetMode="External"/><Relationship Id="rId11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