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6" w:val="left"/>
        </w:tabs>
        <w:autoSpaceDE w:val="0"/>
        <w:widowControl/>
        <w:spacing w:line="240" w:lineRule="auto" w:before="198" w:after="0"/>
        <w:ind w:left="678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0"/>
        <w:ind w:left="304" w:right="576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Программа учебной дисциплины (ПУД): Информация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для ППС</w:t>
      </w:r>
    </w:p>
    <w:p>
      <w:pPr>
        <w:autoSpaceDN w:val="0"/>
        <w:autoSpaceDE w:val="0"/>
        <w:widowControl/>
        <w:spacing w:line="240" w:lineRule="auto" w:before="468" w:after="8"/>
        <w:ind w:left="304" w:right="0" w:firstLine="0"/>
        <w:jc w:val="left"/>
      </w:pPr>
      <w:r>
        <w:rPr>
          <w:rFonts w:ascii="Segoe UI" w:hAnsi="Segoe UI" w:eastAsia="Segoe UI"/>
          <w:b/>
          <w:i w:val="0"/>
          <w:color w:val="0056B3"/>
          <w:sz w:val="27"/>
        </w:rPr>
        <w:hyperlink r:id="rId11" w:history="1">
          <w:r>
            <w:rPr>
              <w:rStyle w:val="Hyperlink"/>
            </w:rPr>
            <w:t>Справочник преподавателя НИУ ВШЭ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2052"/>
        </w:trPr>
        <w:tc>
          <w:tcPr>
            <w:tcW w:type="dxa" w:w="10214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84" w:after="0"/>
              <w:ind w:left="524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Программа учебной дисциплины (ПУД)</w:t>
            </w:r>
          </w:p>
        </w:tc>
      </w:tr>
    </w:tbl>
    <w:p>
      <w:pPr>
        <w:autoSpaceDN w:val="0"/>
        <w:autoSpaceDE w:val="0"/>
        <w:widowControl/>
        <w:spacing w:line="269" w:lineRule="auto" w:before="146" w:after="0"/>
        <w:ind w:left="828" w:right="1440" w:firstLine="0"/>
        <w:jc w:val="left"/>
      </w:pP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Программа учебной дисциплины – нормативный документ, в котором</w:t>
      </w: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определяется содержание и структура учебной дисциплины, ее место и</w:t>
      </w: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значение в системе подготовки студента, цели ее изучения и формы</w:t>
      </w:r>
      <w:r>
        <w:rPr>
          <w:shd w:val="clear" w:color="auto" w:fill="efefef"/>
          <w:w w:val="98.07692307692307"/>
          <w:rFonts w:ascii="Segoe UI" w:hAnsi="Segoe UI" w:eastAsia="Segoe UI"/>
          <w:b w:val="0"/>
          <w:i w:val="0"/>
          <w:color w:val="000000"/>
          <w:sz w:val="26"/>
        </w:rPr>
        <w:t>организации обучения и контроля.</w:t>
      </w:r>
    </w:p>
    <w:p>
      <w:pPr>
        <w:autoSpaceDN w:val="0"/>
        <w:autoSpaceDE w:val="0"/>
        <w:widowControl/>
        <w:spacing w:line="269" w:lineRule="auto" w:before="262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ПУД регламентирует четкие правила взаимодействия со студентом, 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отражает формы контроля, примеры к ним и дополнительные регламенты. 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ее помощью вы информируете студентов об основных характеристиках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дисциплины.</w:t>
      </w:r>
    </w:p>
    <w:p>
      <w:pPr>
        <w:autoSpaceDN w:val="0"/>
        <w:autoSpaceDE w:val="0"/>
        <w:widowControl/>
        <w:spacing w:line="264" w:lineRule="auto" w:before="260" w:after="200"/>
        <w:ind w:left="828" w:right="1008" w:firstLine="0"/>
        <w:jc w:val="left"/>
      </w:pPr>
      <w:r>
        <w:rPr>
          <w:shd w:val="clear" w:color="auto" w:fill="faebd6"/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На первом занятии по дисциплине</w:t>
      </w:r>
      <w:r>
        <w:rPr>
          <w:shd w:val="clear" w:color="auto" w:fill="faebd6"/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преподаватель обязательно оповещает</w:t>
      </w:r>
      <w:r>
        <w:rPr>
          <w:shd w:val="clear" w:color="auto" w:fill="faebd6"/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студентов об основных характеристиках дисциплины и рассказывает, где</w:t>
      </w:r>
      <w:r>
        <w:rPr>
          <w:shd w:val="clear" w:color="auto" w:fill="faebd6"/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можно ознакомиться с программой учебной дисциплины.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526"/>
        </w:trPr>
        <w:tc>
          <w:tcPr>
            <w:tcW w:type="dxa" w:w="1080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Программа учебной дисциплины должна описывать:</w:t>
            </w:r>
          </w:p>
        </w:tc>
      </w:tr>
      <w:tr>
        <w:trPr>
          <w:trHeight w:hRule="exact" w:val="580"/>
        </w:trPr>
        <w:tc>
          <w:tcPr>
            <w:tcW w:type="dxa" w:w="1748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цели и планируемые результаты обучения</w:t>
            </w:r>
          </w:p>
        </w:tc>
      </w:tr>
      <w:tr>
        <w:trPr>
          <w:trHeight w:hRule="exact" w:val="600"/>
        </w:trPr>
        <w:tc>
          <w:tcPr>
            <w:tcW w:type="dxa" w:w="1748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содержание учебного курса</w:t>
            </w:r>
          </w:p>
        </w:tc>
      </w:tr>
      <w:tr>
        <w:trPr>
          <w:trHeight w:hRule="exact" w:val="580"/>
        </w:trPr>
        <w:tc>
          <w:tcPr>
            <w:tcW w:type="dxa" w:w="1748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порядок работы со студентами</w:t>
            </w:r>
          </w:p>
        </w:tc>
      </w:tr>
      <w:tr>
        <w:trPr>
          <w:trHeight w:hRule="exact" w:val="600"/>
        </w:trPr>
        <w:tc>
          <w:tcPr>
            <w:tcW w:type="dxa" w:w="1748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темы</w:t>
            </w:r>
          </w:p>
        </w:tc>
      </w:tr>
      <w:tr>
        <w:trPr>
          <w:trHeight w:hRule="exact" w:val="1524"/>
        </w:trPr>
        <w:tc>
          <w:tcPr>
            <w:tcW w:type="dxa" w:w="1748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рекомендуемую литературу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676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3.9999999999999" w:type="dxa"/>
            </w:tblPr>
            <w:tblGrid>
              <w:gridCol w:w="10804"/>
            </w:tblGrid>
            <w:tr>
              <w:trPr>
                <w:trHeight w:hRule="exact" w:val="1104"/>
              </w:trPr>
              <w:tc>
                <w:tcPr>
                  <w:tcW w:type="dxa" w:w="10200"/>
                  <w:tcBorders/>
                  <w:shd w:fill="efef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4" w:after="0"/>
                    <w:ind w:left="1124" w:right="0" w:firstLine="0"/>
                    <w:jc w:val="left"/>
                  </w:pP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 xml:space="preserve">— формы занятий и принципы выставления оценок.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203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18" w:after="0"/>
              <w:ind w:left="828" w:right="1296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Как создается и как актуализируется программа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учебной дисциплины?</w:t>
            </w:r>
          </w:p>
        </w:tc>
      </w:tr>
    </w:tbl>
    <w:p>
      <w:pPr>
        <w:autoSpaceDN w:val="0"/>
        <w:autoSpaceDE w:val="0"/>
        <w:widowControl/>
        <w:spacing w:line="240" w:lineRule="auto" w:before="154" w:after="0"/>
        <w:ind w:left="828" w:right="0" w:firstLine="0"/>
        <w:jc w:val="left"/>
      </w:pPr>
      <w:r>
        <w:rPr>
          <w:shd w:val="clear" w:color="auto" w:fill="efefef"/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Формирование программы учебной дисциплины осуществляется в</w:t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специальном модуле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Конструктор ПУД 2.0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40" w:lineRule="auto" w:before="26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Заполненная и утвержденная программа дисциплины должна быть</w:t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размещена на портале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не позднее 5 дней до начала модуля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в котором она</w:t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будет реализована. </w:t>
      </w:r>
    </w:p>
    <w:p>
      <w:pPr>
        <w:autoSpaceDN w:val="0"/>
        <w:autoSpaceDE w:val="0"/>
        <w:widowControl/>
        <w:spacing w:line="240" w:lineRule="auto" w:before="262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Преподаватель несет ответственность за наличие и качество программ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997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учебных дисциплин, размещенных в открытом доступе на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4" w:history="1">
                <w:r>
                  <w:rPr>
                    <w:rStyle w:val="Hyperlink"/>
                  </w:rPr>
                  <w:t>сайте НИУ ВШЭ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252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52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429259</wp:posOffset>
                  </wp:positionV>
                  <wp:extent cx="5810250" cy="756158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756158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866" w:after="0"/>
        <w:ind w:left="828" w:right="0" w:firstLine="0"/>
        <w:jc w:val="left"/>
      </w:pPr>
      <w:r>
        <w:rPr>
          <w:shd w:val="clear" w:color="auto" w:fill="efefef"/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Мониторинг качества и сроков подготовки ПУД осуществляется</w:t>
      </w:r>
    </w:p>
    <w:p>
      <w:pPr>
        <w:autoSpaceDN w:val="0"/>
        <w:autoSpaceDE w:val="0"/>
        <w:widowControl/>
        <w:spacing w:line="240" w:lineRule="auto" w:before="52" w:after="32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сотрудниками центра сервиса “Департамент”. Результаты мониторинга будут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902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учитываться при прохождении конкурса ППС.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0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708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8" w:after="0"/>
              <w:ind w:left="458" w:right="432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На что следует обратить внимание при разработке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программы учебной дисциплины?</w:t>
            </w:r>
          </w:p>
        </w:tc>
      </w:tr>
    </w:tbl>
    <w:p>
      <w:pPr>
        <w:autoSpaceDN w:val="0"/>
        <w:autoSpaceDE w:val="0"/>
        <w:widowControl/>
        <w:spacing w:line="240" w:lineRule="auto" w:before="146" w:after="24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Совокупный вес Элементов контроля, повторить которые невозможно, не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20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может превышать 30 % в оценке за промежуточную аттестацию. </w:t>
            </w:r>
          </w:p>
        </w:tc>
      </w:tr>
    </w:tbl>
    <w:p>
      <w:pPr>
        <w:autoSpaceDN w:val="0"/>
        <w:autoSpaceDE w:val="0"/>
        <w:widowControl/>
        <w:spacing w:line="3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274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4" w:after="0"/>
              <w:ind w:left="4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Документы</w:t>
            </w:r>
          </w:p>
        </w:tc>
      </w:tr>
    </w:tbl>
    <w:p>
      <w:pPr>
        <w:autoSpaceDN w:val="0"/>
        <w:autoSpaceDE w:val="0"/>
        <w:widowControl/>
        <w:spacing w:line="264" w:lineRule="auto" w:before="132" w:after="0"/>
        <w:ind w:left="828" w:right="172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формировании ПУД рекомендуем ознакомиться со следующими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материалами: </w:t>
      </w:r>
    </w:p>
    <w:p>
      <w:pPr>
        <w:autoSpaceDN w:val="0"/>
        <w:autoSpaceDE w:val="0"/>
        <w:widowControl/>
        <w:spacing w:line="264" w:lineRule="auto" w:before="260" w:after="0"/>
        <w:ind w:left="828" w:right="100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Положение о программе учебной дисциплины образовательных программ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высшего образования – программ бакалавриата, специалитета,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магистратуры НИУ ВШЭ</w:t>
          </w:r>
        </w:hyperlink>
      </w:r>
    </w:p>
    <w:p>
      <w:pPr>
        <w:autoSpaceDN w:val="0"/>
        <w:autoSpaceDE w:val="0"/>
        <w:widowControl/>
        <w:spacing w:line="264" w:lineRule="auto" w:before="260" w:after="26"/>
        <w:ind w:left="828" w:right="1584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Положение об организации промежуточной аттестации и текущего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контроля успеваемости студентов Национального исследовательского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7" w:history="1">
                <w:r>
                  <w:rPr>
                    <w:rStyle w:val="Hyperlink"/>
                  </w:rPr>
                  <w:t>университета «Высшая школа экономики» (ПОПАТКУС)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258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8" w:after="0"/>
              <w:ind w:left="4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Техническая поддержка</w:t>
            </w:r>
          </w:p>
        </w:tc>
      </w:tr>
    </w:tbl>
    <w:p>
      <w:pPr>
        <w:autoSpaceDN w:val="0"/>
        <w:autoSpaceDE w:val="0"/>
        <w:widowControl/>
        <w:spacing w:line="259" w:lineRule="auto" w:before="146" w:after="34"/>
        <w:ind w:left="828" w:right="2304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Техническая поддержка осуществляется через единый модуль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техподдержки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по методическим вопросам можно обращаться к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0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сотрудникам центра сервиса "Департамент" 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272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3.9999999999999" w:type="dxa"/>
            </w:tblPr>
            <w:tblGrid>
              <w:gridCol w:w="10804"/>
            </w:tblGrid>
            <w:tr>
              <w:trPr>
                <w:trHeight w:hRule="exact" w:val="2184"/>
              </w:trPr>
              <w:tc>
                <w:tcPr>
                  <w:tcW w:type="dxa" w:w="10200"/>
                  <w:tcBorders/>
                  <w:shd w:fill="efef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18" w:after="0"/>
                    <w:ind w:left="524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0000"/>
                      <w:sz w:val="38"/>
                    </w:rPr>
                    <w:t>Инструкции для преподавателей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22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5943600</wp:posOffset>
            </wp:positionV>
            <wp:extent cx="889000" cy="25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1092200</wp:posOffset>
            </wp:positionH>
            <wp:positionV relativeFrom="page">
              <wp:posOffset>4711700</wp:posOffset>
            </wp:positionV>
            <wp:extent cx="977900" cy="6731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673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4429760</wp:posOffset>
            </wp:positionV>
            <wp:extent cx="952500" cy="9525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124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6" w:after="0"/>
              <w:ind w:left="828" w:right="0" w:firstLine="0"/>
              <w:jc w:val="left"/>
            </w:pPr>
            <w:r>
              <w:rPr>
                <w:u w:val="single" w:color="000000"/>
                <w:w w:val="98.07692307692307"/>
                <w:rFonts w:ascii="Segoe UI Semibold" w:hAnsi="Segoe UI Semibold" w:eastAsia="Segoe UI Semibold"/>
                <w:b/>
                <w:i w:val="0"/>
                <w:color w:val="0000CD"/>
                <w:sz w:val="26"/>
              </w:rPr>
              <w:hyperlink r:id="rId19" w:history="1">
                <w:r>
                  <w:rPr>
                    <w:rStyle w:val="Hyperlink"/>
                  </w:rPr>
                  <w:t>ПАМЯТКА по работе в конструкторе ПУД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86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CD"/>
                <w:sz w:val="26"/>
              </w:rPr>
              <w:hyperlink r:id="rId20" w:history="1">
                <w:r>
                  <w:rPr>
                    <w:rStyle w:val="Hyperlink"/>
                  </w:rPr>
                  <w:t>Инструкция по работе в Конструкторе ПУД 2.0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1193800</wp:posOffset>
                  </wp:positionV>
                  <wp:extent cx="3581400" cy="2540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5412"/>
        <w:gridCol w:w="5412"/>
      </w:tblGrid>
      <w:tr>
        <w:trPr>
          <w:trHeight w:hRule="exact" w:val="950"/>
        </w:trPr>
        <w:tc>
          <w:tcPr>
            <w:tcW w:type="dxa" w:w="30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8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CD"/>
                <w:sz w:val="26"/>
              </w:rPr>
              <w:hyperlink r:id="rId22" w:history="1">
                <w:r>
                  <w:rPr>
                    <w:rStyle w:val="Hyperlink"/>
                  </w:rPr>
                  <w:t>ПУД: Видео инструкция для преподавателей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1651000</wp:posOffset>
                  </wp:positionV>
                  <wp:extent cx="3429000" cy="2540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1840"/>
        </w:trPr>
        <w:tc>
          <w:tcPr>
            <w:tcW w:type="dxa" w:w="3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76" w:after="0"/>
              <w:ind w:left="2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2438400</wp:posOffset>
                  </wp:positionV>
                  <wp:extent cx="76200" cy="71120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112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8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6" w:after="0"/>
              <w:ind w:left="16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Войти в цифровой сервис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3" w:history="1">
                <w:r>
                  <w:rPr>
                    <w:rStyle w:val="Hyperlink"/>
                  </w:rPr>
                  <w:t>Конструктор программ учебных дисциплин (ПУД 2.0)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7.99999999999997" w:type="dxa"/>
      </w:tblPr>
      <w:tblGrid>
        <w:gridCol w:w="5412"/>
        <w:gridCol w:w="5412"/>
      </w:tblGrid>
      <w:tr>
        <w:trPr>
          <w:trHeight w:hRule="exact" w:val="1712"/>
        </w:trPr>
        <w:tc>
          <w:tcPr>
            <w:tcW w:type="dxa" w:w="3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0" w:right="66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3263900</wp:posOffset>
                  </wp:positionV>
                  <wp:extent cx="76200" cy="6477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6477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8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26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6" w:history="1">
                <w:r>
                  <w:rPr>
                    <w:rStyle w:val="Hyperlink"/>
                  </w:rPr>
                  <w:t>Техническая поддержка осуществляется через единый модуль техподдержки</w:t>
                </w:r>
              </w:hyperlink>
            </w:r>
          </w:p>
        </w:tc>
      </w:tr>
      <w:tr>
        <w:trPr>
          <w:trHeight w:hRule="exact" w:val="4578"/>
        </w:trPr>
        <w:tc>
          <w:tcPr>
            <w:tcW w:type="dxa" w:w="36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83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834"/>
            </w:tblGrid>
            <w:tr>
              <w:trPr>
                <w:trHeight w:hRule="exact" w:val="4558"/>
              </w:trPr>
              <w:tc>
                <w:tcPr>
                  <w:tcW w:type="dxa" w:w="3480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8.0000000000001" w:type="dxa"/>
                  </w:tblPr>
                  <w:tblGrid>
                    <w:gridCol w:w="3480"/>
                  </w:tblGrid>
                  <w:tr>
                    <w:trPr>
                      <w:trHeight w:hRule="exact" w:val="3596"/>
                    </w:trPr>
                    <w:tc>
                      <w:tcPr>
                        <w:tcW w:type="dxa" w:w="3000"/>
                        <w:tcBorders/>
                        <w:shd w:fill="eb4045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5" w:lineRule="auto" w:before="1514" w:after="0"/>
                          <w:ind w:left="512" w:right="1008" w:firstLine="0"/>
                          <w:jc w:val="left"/>
                        </w:pPr>
                        <w:r>
                          <w:rPr>
                            <w:rFonts w:ascii="Segoe UI Semibold" w:hAnsi="Segoe UI Semibold" w:eastAsia="Segoe UI Semibold"/>
                            <w:b/>
                            <w:i w:val="0"/>
                            <w:color w:val="000000"/>
                            <w:sz w:val="38"/>
                          </w:rPr>
                          <w:hyperlink r:id="rId27" w:history="1">
                            <w:r>
                              <w:rPr>
                                <w:rStyle w:val="Hyperlink"/>
                              </w:rPr>
                              <w:t>Ряшин</w:t>
                            </w:r>
                          </w:hyperlink>
                        </w:r>
                        <w:r>
                          <w:rPr>
                            <w:rFonts w:ascii="Segoe UI Semibold" w:hAnsi="Segoe UI Semibold" w:eastAsia="Segoe UI Semibold"/>
                            <w:b/>
                            <w:i w:val="0"/>
                            <w:color w:val="000000"/>
                            <w:sz w:val="38"/>
                          </w:rPr>
                          <w:hyperlink r:id="rId27" w:history="1">
                            <w:r>
                              <w:rPr>
                                <w:rStyle w:val="Hyperlink"/>
                              </w:rPr>
                              <w:t>а</w:t>
                            </w:r>
                          </w:hyperlink>
                        </w:r>
                        <w:r>
                          <w:br/>
                        </w:r>
                        <w:r>
                          <w:rPr>
                            <w:rFonts w:ascii="Segoe UI Semibold" w:hAnsi="Segoe UI Semibold" w:eastAsia="Segoe UI Semibold"/>
                            <w:b/>
                            <w:i w:val="0"/>
                            <w:color w:val="000000"/>
                            <w:sz w:val="38"/>
                          </w:rPr>
                          <w:hyperlink r:id="rId27" w:history="1">
                            <w:r>
                              <w:rPr>
                                <w:rStyle w:val="Hyperlink"/>
                              </w:rPr>
                              <w:t>Алёна</w:t>
                            </w:r>
                          </w:hyperlink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496" w:right="0" w:firstLine="0"/>
                          <w:jc w:val="left"/>
                        </w:pPr>
                        <w:r>
                          <w:drawing>
      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      <wp:simplePos x="0" y="0"/>
                              <wp:positionH relativeFrom="page">
                                <wp:posOffset>1143000</wp:posOffset>
                              </wp:positionH>
                              <wp:positionV relativeFrom="page">
                                <wp:posOffset>6515100</wp:posOffset>
                              </wp:positionV>
                              <wp:extent cx="1066800" cy="25400"/>
                              <wp:wrapNone/>
                              <wp:docPr id="7" name="Picture 7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66800" cy="254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Segoe UI Semibold" w:hAnsi="Segoe UI Semibold" w:eastAsia="Segoe UI Semibold"/>
                            <w:b/>
                            <w:i w:val="0"/>
                            <w:color w:val="000000"/>
                            <w:sz w:val="38"/>
                          </w:rPr>
                          <w:hyperlink r:id="rId27" w:history="1">
                            <w:r>
                              <w:rPr>
                                <w:rStyle w:val="Hyperlink"/>
                              </w:rPr>
                              <w:t>Юрьевна</w:t>
                            </w:r>
                          </w:hyperlink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1006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7810500</wp:posOffset>
            </wp:positionV>
            <wp:extent cx="508000" cy="2413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8191500</wp:posOffset>
            </wp:positionV>
            <wp:extent cx="1346200" cy="3175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6" w:after="0"/>
        <w:ind w:left="30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8696960</wp:posOffset>
            </wp:positionV>
            <wp:extent cx="228600" cy="2286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0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sectPr>
          <w:pgSz w:w="11918" w:h="16858"/>
          <w:pgMar w:top="0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9762490</wp:posOffset>
            </wp:positionV>
            <wp:extent cx="6877050" cy="523633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5236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0" w:lineRule="auto" w:before="172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5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0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3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240" w:lineRule="auto" w:before="200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72" w:history="1">
          <w:r>
            <w:rPr>
              <w:rStyle w:val="Hyperlink"/>
            </w:rPr>
            <w:t>РЕСУРСЫ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427990</wp:posOffset>
            </wp:positionV>
            <wp:extent cx="6877050" cy="4058951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05895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18" w:after="0"/>
        <w:ind w:left="300" w:right="7776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84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5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6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7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8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9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handbook/studyspravka_tch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dp.hse.ru/" TargetMode="External"/><Relationship Id="rId14" Type="http://schemas.openxmlformats.org/officeDocument/2006/relationships/hyperlink" Target="http://www.hse.ru/edu/courses/" TargetMode="External"/><Relationship Id="rId15" Type="http://schemas.openxmlformats.org/officeDocument/2006/relationships/image" Target="media/image2.png"/><Relationship Id="rId16" Type="http://schemas.openxmlformats.org/officeDocument/2006/relationships/hyperlink" Target="https://www.hse.ru/docs/289423580.html" TargetMode="External"/><Relationship Id="rId17" Type="http://schemas.openxmlformats.org/officeDocument/2006/relationships/hyperlink" Target="https://www.hse.ru/studyspravka/new_regulations" TargetMode="External"/><Relationship Id="rId18" Type="http://schemas.openxmlformats.org/officeDocument/2006/relationships/hyperlink" Target="https://pmo.hse.ru/servicedesk/customer/portal/81/group/301" TargetMode="External"/><Relationship Id="rId19" Type="http://schemas.openxmlformats.org/officeDocument/2006/relationships/hyperlink" Target="https://www.hse.ru/studyspravka/pud_guide" TargetMode="External"/><Relationship Id="rId20" Type="http://schemas.openxmlformats.org/officeDocument/2006/relationships/hyperlink" Target="https://www.hse.ru/studyspravka/manual_PUD2.0_prepod" TargetMode="External"/><Relationship Id="rId21" Type="http://schemas.openxmlformats.org/officeDocument/2006/relationships/image" Target="media/image3.png"/><Relationship Id="rId22" Type="http://schemas.openxmlformats.org/officeDocument/2006/relationships/hyperlink" Target="https://rutube.ru/video/private/350f61ed224bf54cd081e05ebc88a75f/?p=ZaRkLXIXrZmIcxPXZvAQqQ" TargetMode="External"/><Relationship Id="rId23" Type="http://schemas.openxmlformats.org/officeDocument/2006/relationships/image" Target="media/image4.png"/><Relationship Id="rId24" Type="http://schemas.openxmlformats.org/officeDocument/2006/relationships/image" Target="media/image5.png"/><Relationship Id="rId25" Type="http://schemas.openxmlformats.org/officeDocument/2006/relationships/image" Target="media/image6.png"/><Relationship Id="rId26" Type="http://schemas.openxmlformats.org/officeDocument/2006/relationships/hyperlink" Target="https://pmo.hse.ru/servicedesk/customer/portal/81/create/770" TargetMode="External"/><Relationship Id="rId27" Type="http://schemas.openxmlformats.org/officeDocument/2006/relationships/hyperlink" Target="https://www.hse.ru/org/persons/844479589" TargetMode="External"/><Relationship Id="rId28" Type="http://schemas.openxmlformats.org/officeDocument/2006/relationships/image" Target="media/image7.png"/><Relationship Id="rId29" Type="http://schemas.openxmlformats.org/officeDocument/2006/relationships/image" Target="media/image8.png"/><Relationship Id="rId30" Type="http://schemas.openxmlformats.org/officeDocument/2006/relationships/image" Target="media/image9.png"/><Relationship Id="rId31" Type="http://schemas.openxmlformats.org/officeDocument/2006/relationships/image" Target="media/image10.png"/><Relationship Id="rId32" Type="http://schemas.openxmlformats.org/officeDocument/2006/relationships/image" Target="media/image11.png"/><Relationship Id="rId33" Type="http://schemas.openxmlformats.org/officeDocument/2006/relationships/image" Target="media/image12.png"/><Relationship Id="rId34" Type="http://schemas.openxmlformats.org/officeDocument/2006/relationships/image" Target="media/image13.png"/><Relationship Id="rId35" Type="http://schemas.openxmlformats.org/officeDocument/2006/relationships/hyperlink" Target="https://www.hse.ru/org/hse/info/" TargetMode="External"/><Relationship Id="rId36" Type="http://schemas.openxmlformats.org/officeDocument/2006/relationships/hyperlink" Target="https://figures.hse.ru/" TargetMode="External"/><Relationship Id="rId37" Type="http://schemas.openxmlformats.org/officeDocument/2006/relationships/hyperlink" Target="https://www.hse.ru/orgstructure/" TargetMode="External"/><Relationship Id="rId38" Type="http://schemas.openxmlformats.org/officeDocument/2006/relationships/hyperlink" Target="https://sustainability.hse.ru/" TargetMode="External"/><Relationship Id="rId39" Type="http://schemas.openxmlformats.org/officeDocument/2006/relationships/hyperlink" Target="https://www.hse.ru/org/persons/" TargetMode="External"/><Relationship Id="rId40" Type="http://schemas.openxmlformats.org/officeDocument/2006/relationships/hyperlink" Target="https://www.hse.ru/buildinghse" TargetMode="External"/><Relationship Id="rId41" Type="http://schemas.openxmlformats.org/officeDocument/2006/relationships/hyperlink" Target="https://www.hse.ru/org/hse/aup/procurement/" TargetMode="External"/><Relationship Id="rId42" Type="http://schemas.openxmlformats.org/officeDocument/2006/relationships/hyperlink" Target="https://www.hse.ru/appeal/" TargetMode="External"/><Relationship Id="rId43" Type="http://schemas.openxmlformats.org/officeDocument/2006/relationships/hyperlink" Target="https://endowment.hse.ru/" TargetMode="External"/><Relationship Id="rId44" Type="http://schemas.openxmlformats.org/officeDocument/2006/relationships/hyperlink" Target="https://www.hse.ru/anticorruption" TargetMode="External"/><Relationship Id="rId45" Type="http://schemas.openxmlformats.org/officeDocument/2006/relationships/hyperlink" Target="https://www.hse.ru/anticorruption/information" TargetMode="External"/><Relationship Id="rId46" Type="http://schemas.openxmlformats.org/officeDocument/2006/relationships/hyperlink" Target="https://www.hse.ru/sveden/" TargetMode="External"/><Relationship Id="rId47" Type="http://schemas.openxmlformats.org/officeDocument/2006/relationships/hyperlink" Target="https://inclusive.hse.ru/" TargetMode="External"/><Relationship Id="rId48" Type="http://schemas.openxmlformats.org/officeDocument/2006/relationships/hyperlink" Target="https://pay.hse.ru/" TargetMode="External"/><Relationship Id="rId49" Type="http://schemas.openxmlformats.org/officeDocument/2006/relationships/hyperlink" Target="https://www.hse.ru/career" TargetMode="External"/><Relationship Id="rId50" Type="http://schemas.openxmlformats.org/officeDocument/2006/relationships/hyperlink" Target="https://www.hse.ru/education/" TargetMode="External"/><Relationship Id="rId51" Type="http://schemas.openxmlformats.org/officeDocument/2006/relationships/hyperlink" Target="https://school.hse.ru/" TargetMode="External"/><Relationship Id="rId52" Type="http://schemas.openxmlformats.org/officeDocument/2006/relationships/hyperlink" Target="https://fdp.hse.ru/" TargetMode="External"/><Relationship Id="rId53" Type="http://schemas.openxmlformats.org/officeDocument/2006/relationships/hyperlink" Target="https://olymp.hse.ru/" TargetMode="External"/><Relationship Id="rId54" Type="http://schemas.openxmlformats.org/officeDocument/2006/relationships/hyperlink" Target="https://ba.hse.ru/" TargetMode="External"/><Relationship Id="rId55" Type="http://schemas.openxmlformats.org/officeDocument/2006/relationships/hyperlink" Target="https://www.hse.ru/plus" TargetMode="External"/><Relationship Id="rId56" Type="http://schemas.openxmlformats.org/officeDocument/2006/relationships/hyperlink" Target="https://ma.hse.ru/" TargetMode="External"/><Relationship Id="rId57" Type="http://schemas.openxmlformats.org/officeDocument/2006/relationships/hyperlink" Target="https://aspirantura.hse.ru/" TargetMode="External"/><Relationship Id="rId58" Type="http://schemas.openxmlformats.org/officeDocument/2006/relationships/hyperlink" Target="https://busedu.hse.ru/" TargetMode="External"/><Relationship Id="rId59" Type="http://schemas.openxmlformats.org/officeDocument/2006/relationships/hyperlink" Target="https://career.hse.ru/" TargetMode="External"/><Relationship Id="rId60" Type="http://schemas.openxmlformats.org/officeDocument/2006/relationships/hyperlink" Target="http://inc.hse.ru/" TargetMode="External"/><Relationship Id="rId61" Type="http://schemas.openxmlformats.org/officeDocument/2006/relationships/hyperlink" Target="https://dd.hse.ru/" TargetMode="External"/><Relationship Id="rId62" Type="http://schemas.openxmlformats.org/officeDocument/2006/relationships/hyperlink" Target="https://www.hse.ru/feedback" TargetMode="External"/><Relationship Id="rId63" Type="http://schemas.openxmlformats.org/officeDocument/2006/relationships/hyperlink" Target="https://www.hse.ru/science/" TargetMode="External"/><Relationship Id="rId64" Type="http://schemas.openxmlformats.org/officeDocument/2006/relationships/hyperlink" Target="https://www.hse.ru/science/centers" TargetMode="External"/><Relationship Id="rId65" Type="http://schemas.openxmlformats.org/officeDocument/2006/relationships/hyperlink" Target="https://www.hse.ru/org/projects/" TargetMode="External"/><Relationship Id="rId66" Type="http://schemas.openxmlformats.org/officeDocument/2006/relationships/hyperlink" Target="https://www.hse.ru/monitoring/" TargetMode="External"/><Relationship Id="rId67" Type="http://schemas.openxmlformats.org/officeDocument/2006/relationships/hyperlink" Target="https://www.hse.ru/science/disscoun/" TargetMode="External"/><Relationship Id="rId68" Type="http://schemas.openxmlformats.org/officeDocument/2006/relationships/hyperlink" Target="https://aspirantura.hse.ru/defence/announcements/" TargetMode="External"/><Relationship Id="rId69" Type="http://schemas.openxmlformats.org/officeDocument/2006/relationships/hyperlink" Target="https://academics.hse.ru/" TargetMode="External"/><Relationship Id="rId70" Type="http://schemas.openxmlformats.org/officeDocument/2006/relationships/hyperlink" Target="https://www.hse.ru/science/hsegrants" TargetMode="External"/><Relationship Id="rId71" Type="http://schemas.openxmlformats.org/officeDocument/2006/relationships/hyperlink" Target="https://sezam.hse.ru/" TargetMode="External"/><Relationship Id="rId72" Type="http://schemas.openxmlformats.org/officeDocument/2006/relationships/hyperlink" Target="https://publications.hse.ru/" TargetMode="External"/><Relationship Id="rId73" Type="http://schemas.openxmlformats.org/officeDocument/2006/relationships/image" Target="media/image14.png"/><Relationship Id="rId74" Type="http://schemas.openxmlformats.org/officeDocument/2006/relationships/hyperlink" Target="https://library.hse.ru/" TargetMode="External"/><Relationship Id="rId75" Type="http://schemas.openxmlformats.org/officeDocument/2006/relationships/hyperlink" Target="https://id.hse.ru/" TargetMode="External"/><Relationship Id="rId76" Type="http://schemas.openxmlformats.org/officeDocument/2006/relationships/hyperlink" Target="https://bookshop.hse.ru/" TargetMode="External"/><Relationship Id="rId77" Type="http://schemas.openxmlformats.org/officeDocument/2006/relationships/hyperlink" Target="https://print.hse.ru/" TargetMode="External"/><Relationship Id="rId78" Type="http://schemas.openxmlformats.org/officeDocument/2006/relationships/hyperlink" Target="https://mc.hse.ru/" TargetMode="External"/><Relationship Id="rId79" Type="http://schemas.openxmlformats.org/officeDocument/2006/relationships/hyperlink" Target="https://www.hse.ru/science/journals" TargetMode="External"/><Relationship Id="rId80" Type="http://schemas.openxmlformats.org/officeDocument/2006/relationships/hyperlink" Target="http://www.minobrnauki.gov.ru/" TargetMode="External"/><Relationship Id="rId81" Type="http://schemas.openxmlformats.org/officeDocument/2006/relationships/hyperlink" Target="https://edu.gov.ru/" TargetMode="External"/><Relationship Id="rId82" Type="http://schemas.openxmlformats.org/officeDocument/2006/relationships/hyperlink" Target="http://www.edu.ru/" TargetMode="External"/><Relationship Id="rId83" Type="http://schemas.openxmlformats.org/officeDocument/2006/relationships/hyperlink" Target="https://elearning.hse.ru/mooc" TargetMode="External"/><Relationship Id="rId84" Type="http://schemas.openxmlformats.org/officeDocument/2006/relationships/hyperlink" Target="https://www.hse.ru/adm/edit/edit.html?goto=%2AL3N0dWR5c3ByYXZrYS9wcm9ncmFtbWF1Y2hkaXNjP19yPTM2MjI1NDMxNzc1MDgyMDUyLjU3MzEx%5E&amp;id=21264102&amp;cid=20594&amp;addon_name=default&amp;newportal=1" TargetMode="External"/><Relationship Id="rId85" Type="http://schemas.openxmlformats.org/officeDocument/2006/relationships/hyperlink" Target="https://www.hse.ru/contacts.html" TargetMode="External"/><Relationship Id="rId86" Type="http://schemas.openxmlformats.org/officeDocument/2006/relationships/hyperlink" Target="https://www.hse.ru/copyright" TargetMode="External"/><Relationship Id="rId87" Type="http://schemas.openxmlformats.org/officeDocument/2006/relationships/hyperlink" Target="https://www.hse.ru/data_protection_regulation" TargetMode="External"/><Relationship Id="rId88" Type="http://schemas.openxmlformats.org/officeDocument/2006/relationships/hyperlink" Target="https://www.hse.ru/sitemap.html" TargetMode="External"/><Relationship Id="rId89" Type="http://schemas.openxmlformats.org/officeDocument/2006/relationships/hyperlink" Target="https://design.hse.ru/" TargetMode="External"/><Relationship Id="rId90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