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2580640</wp:posOffset>
            </wp:positionV>
            <wp:extent cx="6485890" cy="744147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74414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15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Перевод студентов внутри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1158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300" w:right="129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1" w:history="1">
                <w:r>
                  <w:rPr>
                    <w:rStyle w:val="Hyperlink"/>
                  </w:rPr>
                  <w:t>Гражданам РФ и иностранным студентам (за исключением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1" w:history="1">
                <w:r>
                  <w:rPr>
                    <w:rStyle w:val="Hyperlink"/>
                  </w:rPr>
                  <w:t>обучающихся по квотам)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Перевод на другую ОП (с отчислением с первой)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0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Перевод для обучения по нескольким ОП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Различия двух видов перевода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5" w:history="1">
                <w:r>
                  <w:rPr>
                    <w:rStyle w:val="Hyperlink"/>
                  </w:rPr>
                  <w:t>Иностранным студентам, обучающимся по квоте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Основная информация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Сроки перевода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0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Процедура перевода без изменения НП(с)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Процедура перевода с изменением НП(с)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5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7" w:history="1">
                <w:r>
                  <w:rPr>
                    <w:rStyle w:val="Hyperlink"/>
                  </w:rPr>
                  <w:t>Дополнительно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9" w:history="1">
                <w:r>
                  <w:rPr>
                    <w:rStyle w:val="Hyperlink"/>
                  </w:rPr>
                  <w:t>Регламентирующие 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64"/>
        </w:trPr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0" w:history="1">
                <w:r>
                  <w:rPr>
                    <w:rStyle w:val="Hyperlink"/>
                  </w:rPr>
                  <w:t>Остались вопросы?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414" w:after="0"/>
        <w:ind w:left="304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/>
          <w:color w:val="000000"/>
          <w:sz w:val="26"/>
        </w:rPr>
        <w:t>01.01.2026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 вступили в силу новые Правила перевода студентов программ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бакалавриата, специалитета, магистратуры НИУ ВШЭ и студентов программ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бакалавриата, специалитета, магистратуры других образовательных организаций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в НИУ ВШЭ.</w:t>
      </w:r>
    </w:p>
    <w:p>
      <w:pPr>
        <w:autoSpaceDN w:val="0"/>
        <w:autoSpaceDE w:val="0"/>
        <w:widowControl/>
        <w:spacing w:line="271" w:lineRule="auto" w:before="246" w:after="0"/>
        <w:ind w:left="304" w:right="1296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Ближайший возможный период перевода внутри НИУ ВШЭ пройдет </w:t>
      </w:r>
      <w:r>
        <w:rPr>
          <w:w w:val="98.07692307692307"/>
          <w:rFonts w:ascii="Segoe UI Semibold" w:hAnsi="Segoe UI Semibold" w:eastAsia="Segoe UI Semibold"/>
          <w:b/>
          <w:i/>
          <w:color w:val="000000"/>
          <w:sz w:val="26"/>
        </w:rPr>
        <w:t>с 1 по 15</w:t>
      </w:r>
      <w:r>
        <w:rPr>
          <w:w w:val="98.07692307692307"/>
          <w:rFonts w:ascii="Segoe UI Semibold" w:hAnsi="Segoe UI Semibold" w:eastAsia="Segoe UI Semibold"/>
          <w:b/>
          <w:i/>
          <w:color w:val="000000"/>
          <w:sz w:val="26"/>
        </w:rPr>
        <w:t>февраля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 (если на программе будет установлен соотвествующий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период). Вакантные места для перевода и конкретные сроки приема заявок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публикуются на сайтах образовательных программ.</w:t>
      </w:r>
    </w:p>
    <w:p>
      <w:pPr>
        <w:autoSpaceDN w:val="0"/>
        <w:autoSpaceDE w:val="0"/>
        <w:widowControl/>
        <w:spacing w:line="245" w:lineRule="auto" w:before="690" w:after="156"/>
        <w:ind w:left="304" w:right="144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Студентам - гражданам РФ и иностранным студентам (за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исключением обучающихся по квотам)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2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6" w:after="0"/>
              <w:ind w:left="458" w:right="86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Варианты перевода на другие образовательные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программы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Перевестись на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3" w:history="1">
                <w:r>
                  <w:rPr>
                    <w:rStyle w:val="Hyperlink"/>
                  </w:rPr>
                  <w:t>образовательную программу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внутри университета можно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500"/>
        </w:trPr>
        <w:tc>
          <w:tcPr>
            <w:tcW w:type="dxa" w:w="956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двумя способами:</w:t>
            </w:r>
          </w:p>
        </w:tc>
      </w:tr>
      <w:tr>
        <w:trPr>
          <w:trHeight w:hRule="exact" w:val="498"/>
        </w:trPr>
        <w:tc>
          <w:tcPr>
            <w:tcW w:type="dxa" w:w="13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2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последующим отчислением с предыдущей образовательной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4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для обучения по одной (новой) образовательной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8.0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95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программе;</w:t>
            </w:r>
          </w:p>
        </w:tc>
      </w:tr>
      <w:tr>
        <w:trPr>
          <w:trHeight w:hRule="exact" w:val="500"/>
        </w:trPr>
        <w:tc>
          <w:tcPr>
            <w:tcW w:type="dxa" w:w="10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параллельного освоения другой образовательной программы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без отчисления с текущей образовательной программы. 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856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Основные различия двух видов перевода внутри университета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794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31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742950</wp:posOffset>
                  </wp:positionH>
                  <wp:positionV relativeFrom="page">
                    <wp:posOffset>8524240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662" w:after="0"/>
        <w:ind w:left="304" w:right="129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Перевод с одной образовательной программы на другую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(обучение по одной ОП)</w:t>
      </w:r>
    </w:p>
    <w:p>
      <w:pPr>
        <w:sectPr>
          <w:pgSz w:w="11918" w:h="16858"/>
          <w:pgMar w:top="338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Основная информация</w:t>
            </w:r>
          </w:p>
        </w:tc>
      </w:tr>
    </w:tbl>
    <w:p>
      <w:pPr>
        <w:autoSpaceDN w:val="0"/>
        <w:autoSpaceDE w:val="0"/>
        <w:widowControl/>
        <w:spacing w:line="259" w:lineRule="auto" w:before="146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В Вышке существуют периоды переводов, в течение которых студенты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могут перевестись на интересующие их образовательные программы.</w:t>
      </w:r>
    </w:p>
    <w:p>
      <w:pPr>
        <w:autoSpaceDN w:val="0"/>
        <w:autoSpaceDE w:val="0"/>
        <w:widowControl/>
        <w:spacing w:line="257" w:lineRule="auto" w:before="66" w:after="0"/>
        <w:ind w:left="828" w:right="3024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Заявки на перевод принимаются строго в установленные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образовательными программами даты приема заявок. </w:t>
      </w:r>
    </w:p>
    <w:p>
      <w:pPr>
        <w:autoSpaceDN w:val="0"/>
        <w:autoSpaceDE w:val="0"/>
        <w:widowControl/>
        <w:spacing w:line="269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Ежегодно периоды переводов на образовательные программы факультета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определяет декан, выбирая два или три из следующих: 1 – 15 октября; 1 – 15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декабря; 1 – 15 февраля; 1 – 15 июня; 1 – 15 августа. Конкретные периода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перевода опубликованы на сайте образовательной прграммы. </w:t>
      </w:r>
    </w:p>
    <w:p>
      <w:pPr>
        <w:autoSpaceDN w:val="0"/>
        <w:autoSpaceDE w:val="0"/>
        <w:widowControl/>
        <w:spacing w:line="269" w:lineRule="auto" w:before="260" w:after="26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Вакантные места для перевода и конкретные сроки приема заявок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публикуются на сайтах образовательных программ перед обязательными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периодами перевода не позднее чем за один календарный день до даты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начала периода переводов на сайтах образовательных программ в разделе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«Число студентов и вакантные места».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Ограничения при переводе</w:t>
            </w:r>
          </w:p>
        </w:tc>
      </w:tr>
    </w:tbl>
    <w:p>
      <w:pPr>
        <w:autoSpaceDN w:val="0"/>
        <w:autoSpaceDE w:val="0"/>
        <w:widowControl/>
        <w:spacing w:line="274" w:lineRule="auto" w:before="146" w:after="0"/>
        <w:ind w:left="8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Для студентов 1 курса образовательной программы бакалавриата/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специалитета: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перевод возможен только после сессии 2 модуля. Заявку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подать в декабрьский период перевода, но приказ о переводе будет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издан только по завершению сессии 2 модуля, при том, что перечень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дисциплин, включенных в ИУП студента после состоявшегося перевода,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быть уменьшен по итогам промежуточной аттестации состоявшейся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сессии в конце декабря. </w:t>
      </w:r>
    </w:p>
    <w:p>
      <w:pPr>
        <w:autoSpaceDN w:val="0"/>
        <w:autoSpaceDE w:val="0"/>
        <w:widowControl/>
        <w:spacing w:line="266" w:lineRule="auto" w:before="260" w:after="0"/>
        <w:ind w:left="828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Для студентов 1 курса образовательной программы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магистратуры: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ограничения, предусмотренные для студентов бакалавриата/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специалитета, отсутствуют. 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подать заявление о переводе в рамках одного периода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переводов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 максимум на 3 (три) образовательных программы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0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8" w:after="0"/>
              <w:ind w:left="458" w:right="144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Факторы, влияющие на принятие решения о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переводе</w:t>
            </w:r>
          </w:p>
        </w:tc>
      </w:tr>
    </w:tbl>
    <w:p>
      <w:pPr>
        <w:autoSpaceDN w:val="0"/>
        <w:autoSpaceDE w:val="0"/>
        <w:widowControl/>
        <w:spacing w:line="259" w:lineRule="auto" w:before="146" w:after="32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Определяющим условием перевода студента является его подготовленность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освоению конкретной образовательной программы, предшествующая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академическая успеваемость, а также наличие вакантных мест для перевода.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Перевод на бюджетное место</w:t>
            </w:r>
          </w:p>
        </w:tc>
      </w:tr>
    </w:tbl>
    <w:p>
      <w:pPr>
        <w:autoSpaceDN w:val="0"/>
        <w:autoSpaceDE w:val="0"/>
        <w:widowControl/>
        <w:spacing w:line="271" w:lineRule="auto" w:before="146" w:after="32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Возможен при его наличии на образовательной программе, соблюдении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условия непревышения срока обучения по новой образовательной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программе более, чем на год, наличия конкурсной ситуации и места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по итогам конкурса, и соответствующем решении аттестационной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комиссии. В противном случае при успешном прохождении аттестационных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испытаний, студенту могут предложить перейти на вакантное платное место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перевода (при его наличии).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Перевод только на платное место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24"/>
        </w:trPr>
        <w:tc>
          <w:tcPr>
            <w:tcW w:type="dxa" w:w="84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отсутствия вакантных бюджетных мест на соотвествующем курсе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988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образовательной программы;</w:t>
            </w:r>
          </w:p>
        </w:tc>
      </w:tr>
      <w:tr>
        <w:trPr>
          <w:trHeight w:hRule="exact" w:val="500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переводе на обучение по образовательным программам, имеющим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80"/>
        </w:trPr>
        <w:tc>
          <w:tcPr>
            <w:tcW w:type="dxa" w:w="978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только платные места;</w:t>
            </w:r>
          </w:p>
        </w:tc>
      </w:tr>
      <w:tr>
        <w:trPr>
          <w:trHeight w:hRule="exact" w:val="510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получении второго или последующего образования такого же или</w:t>
            </w:r>
          </w:p>
        </w:tc>
      </w:tr>
    </w:tbl>
    <w:p>
      <w:pPr>
        <w:autoSpaceDN w:val="0"/>
        <w:autoSpaceDE w:val="0"/>
        <w:widowControl/>
        <w:spacing w:line="240" w:lineRule="auto" w:before="24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более низкого уровня, а также при параллельном освоении другой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80"/>
        </w:trPr>
        <w:tc>
          <w:tcPr>
            <w:tcW w:type="dxa" w:w="996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образовательной программы;</w:t>
            </w:r>
          </w:p>
        </w:tc>
      </w:tr>
      <w:tr>
        <w:trPr>
          <w:trHeight w:hRule="exact" w:val="500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2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превышении общей продолжительность обучения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более чем на один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6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год нормативного срока освоения образовательной программы;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700" w:after="34"/>
        <w:ind w:left="828" w:right="1872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студент является иностранным гражданином или лицом без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гражданства, которое не может обучаться на бюджетном месте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78"/>
        </w:trPr>
        <w:tc>
          <w:tcPr>
            <w:tcW w:type="dxa" w:w="1020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соответствии с законодательством Российской Федерации об образовании;</w:t>
            </w:r>
          </w:p>
        </w:tc>
      </w:tr>
      <w:tr>
        <w:trPr>
          <w:trHeight w:hRule="exact" w:val="504"/>
        </w:trPr>
        <w:tc>
          <w:tcPr>
            <w:tcW w:type="dxa" w:w="84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наличии одной-двух академических задолженностей по результатам</w:t>
            </w:r>
          </w:p>
        </w:tc>
      </w:tr>
    </w:tbl>
    <w:p>
      <w:pPr>
        <w:autoSpaceDN w:val="0"/>
        <w:autoSpaceDE w:val="0"/>
        <w:widowControl/>
        <w:spacing w:line="257" w:lineRule="auto" w:before="26" w:after="34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первой пересдачи и изъявлении желания повторно изучить несданные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дисциплины, отложив прохождение второй пересдачи, в порядке,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88"/>
        </w:trPr>
        <w:tc>
          <w:tcPr>
            <w:tcW w:type="dxa" w:w="920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установленном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5" w:history="1">
                <w:r>
                  <w:rPr>
                    <w:rStyle w:val="Hyperlink"/>
                  </w:rPr>
                  <w:t>ПОПАТКУС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;</w:t>
            </w:r>
          </w:p>
        </w:tc>
      </w:tr>
      <w:tr>
        <w:trPr>
          <w:trHeight w:hRule="exact" w:val="494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4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отказе от заключения договора о целевом обучении или</w:t>
            </w:r>
          </w:p>
        </w:tc>
      </w:tr>
    </w:tbl>
    <w:p>
      <w:pPr>
        <w:autoSpaceDN w:val="0"/>
        <w:autoSpaceDE w:val="0"/>
        <w:widowControl/>
        <w:spacing w:line="264" w:lineRule="auto" w:before="26" w:after="24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расторжении договора о целевом обучении в одностороннем порядке до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прохождения первой промежуточной аттестации, если студент был зачислен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5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 бюджетное место в пределах квоты приема на целевое обучение.</w:t>
            </w:r>
          </w:p>
        </w:tc>
      </w:tr>
    </w:tbl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Зачет дисциплин при переводе</w:t>
            </w:r>
          </w:p>
        </w:tc>
      </w:tr>
    </w:tbl>
    <w:p>
      <w:pPr>
        <w:autoSpaceDN w:val="0"/>
        <w:autoSpaceDE w:val="0"/>
        <w:widowControl/>
        <w:spacing w:line="257" w:lineRule="auto" w:before="156" w:after="32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переводе могут быть зачтены результаты дисциплин, совпадающих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названию и объему в зачетных единицах, либо аналогичных по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2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содержанию. Возможность зачета определяется аттестационной комиссией.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7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Принятие решения о переводе</w:t>
            </w:r>
          </w:p>
        </w:tc>
      </w:tr>
    </w:tbl>
    <w:p>
      <w:pPr>
        <w:autoSpaceDN w:val="0"/>
        <w:autoSpaceDE w:val="0"/>
        <w:widowControl/>
        <w:spacing w:line="274" w:lineRule="auto" w:before="13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Готовность студента к переводу на образовательную программу определяет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её аттестационная комиссия, состав и сроки работы которой утверждаются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деканом факультета на один учебный год / менеджер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программы в случаях, установленных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Положением о порядке проведения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аттестации и зачета результатов предыдущего образования при освоении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образовательных программ высшего образования в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Окончательное решение о переводе принимает проректор,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координирующий учебную работу.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67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8" w:val="left"/>
                <w:tab w:pos="828" w:val="left"/>
              </w:tabs>
              <w:autoSpaceDE w:val="0"/>
              <w:widowControl/>
              <w:spacing w:line="245" w:lineRule="auto" w:before="0" w:after="0"/>
              <w:ind w:left="304" w:right="72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Процедура перевода на другую образовательную программу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 xml:space="preserve">(обучение по одной ОП) </w:t>
            </w:r>
            <w:r>
              <w:br/>
            </w:r>
            <w:r>
              <w:tab/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Проверьте наличие вакантных мест и даты</w:t>
            </w:r>
            <w:r>
              <w:tab/>
            </w:r>
            <w:r>
              <w:tab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приема заявок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Информация публикуется накануне обязательных периодов перевода на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сайтах образовательных программ в разделе «Число студентов и вакантные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8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места».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Подайте в установленные сроки заявку на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Все заявки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 перевод, включая восстановление в НИУ ВШЭ/выход из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академического или иного отпуска с последующим переводом внутри НИУ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ВШЭ, подаются в модуле «Движение студента»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ЕЛК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Заявка проходит техническую эскпертизу в течение 3 (трех) рабочих дней,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3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следующих за днем подачи заявления. 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решения технической экпертизы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Центр сервиса «Студент» проводит техническую экспертизу заявок, в том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числе проверяет наличие не более трех заявлений от студента, и направляет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студенту ответ, который содержит информацию либо о положительном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результате технической экспертизы, либо об отрицательном результате.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4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Основаниями для вывода об отрицательном результате технической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28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экспертизы может служить отсутствие вакантных мест для перевода.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результата технической экспертизы передает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8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заявление менеджеру как принимающей, так и исходной программы.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Пройдите аттестационные испытания (при их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наличии) и дождаться решения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Менеджер образовательной программы в комментариях к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заявке направит информацию о процедуре проведения аттестации,</w:t>
            </w:r>
          </w:p>
        </w:tc>
      </w:tr>
    </w:tbl>
    <w:p>
      <w:pPr>
        <w:autoSpaceDN w:val="0"/>
        <w:autoSpaceDE w:val="0"/>
        <w:widowControl/>
        <w:spacing w:line="257" w:lineRule="auto" w:before="26" w:after="202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конкурсного отбора (в случае необходимости), а также о согласии /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мотивированном отказе в переводе на другую образовательную программу.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20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решения аттестационная комиссия определит: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элементов учебного плана, которые могут быть перезачтены;</w:t>
            </w:r>
          </w:p>
        </w:tc>
      </w:tr>
      <w:tr>
        <w:trPr>
          <w:trHeight w:hRule="exact" w:val="58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дисциплин, подлежащих изучению или переаттестации;</w:t>
            </w:r>
          </w:p>
        </w:tc>
      </w:tr>
      <w:tr>
        <w:trPr>
          <w:trHeight w:hRule="exact" w:val="600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курс, на котором студент продолжит обучение;</w:t>
            </w:r>
          </w:p>
        </w:tc>
      </w:tr>
      <w:tr>
        <w:trPr>
          <w:trHeight w:hRule="exact" w:val="528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вид места. </w:t>
            </w:r>
          </w:p>
        </w:tc>
      </w:tr>
    </w:tbl>
    <w:p>
      <w:pPr>
        <w:autoSpaceDN w:val="0"/>
        <w:autoSpaceDE w:val="0"/>
        <w:widowControl/>
        <w:spacing w:line="274" w:lineRule="auto" w:before="202" w:after="26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Количество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зачетных единиц (кредитов)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которое может быть включено в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индивидуальный учебный план (ИУП)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 студента на один год, определяет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образовательный стандарт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согласно которому разработана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образовательная программа. Если дисциплины не могут быть перезачтены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студенту или обнаруживаются неизученные дисциплины (разделы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дисциплин), в ИУП студента включаются эти дисциплины дополнительно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стандартному списку элементов учебного плана того курса, на который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8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переводится студент.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5.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Примите решение о переводе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аттестационная комиссия приняла положительное решение 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переводе, сообщите менеджеру интересующей программы о принятом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3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решении в коммертариях или отмените свою заявку. </w:t>
            </w:r>
          </w:p>
          <w:p>
            <w:pPr>
              <w:autoSpaceDN w:val="0"/>
              <w:autoSpaceDE w:val="0"/>
              <w:widowControl/>
              <w:spacing w:line="245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6.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Согласуйте индивидуальный учебный план 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произведите оплату (при переводе на платное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решения согласуйте проект индивидуального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учебного плана, полученный от менеджера образовательной программы,</w:t>
      </w:r>
    </w:p>
    <w:p>
      <w:pPr>
        <w:autoSpaceDN w:val="0"/>
        <w:autoSpaceDE w:val="0"/>
        <w:widowControl/>
        <w:spacing w:line="240" w:lineRule="auto" w:before="66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заключите договор об оказании платных образовательных услуг и оплатите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7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стоимость обучения (при переводе на платное место). 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7.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выхода приказа и приступите к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занятиям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Приказ будет издан в течение 5 рабочих дней с момента получения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подписанного со стороны студента ИУП (для бюджетных студентов) / после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оплаты договора об оказаниии платных образовательных услуг (для платных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студентов).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желании можно написать заявление на имя декана факультета с</w:t>
      </w:r>
    </w:p>
    <w:p>
      <w:pPr>
        <w:autoSpaceDN w:val="0"/>
        <w:autoSpaceDE w:val="0"/>
        <w:widowControl/>
        <w:spacing w:line="240" w:lineRule="auto" w:before="5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просьбой разрешить посещать занятия на время подготовки приказа об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отчислении (решение будет принято деканом факультета).</w:t>
            </w:r>
          </w:p>
        </w:tc>
      </w:tr>
    </w:tbl>
    <w:p>
      <w:pPr>
        <w:autoSpaceDN w:val="0"/>
        <w:autoSpaceDE w:val="0"/>
        <w:widowControl/>
        <w:spacing w:line="245" w:lineRule="auto" w:before="670" w:after="0"/>
        <w:ind w:left="304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Перевод на вторую образовательную программу (обучение по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нескольким ОП)</w:t>
      </w: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Основная информация</w:t>
            </w:r>
          </w:p>
        </w:tc>
      </w:tr>
    </w:tbl>
    <w:p>
      <w:pPr>
        <w:autoSpaceDN w:val="0"/>
        <w:autoSpaceDE w:val="0"/>
        <w:widowControl/>
        <w:spacing w:line="266" w:lineRule="auto" w:before="146" w:after="26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обучения по двум и более образовательным программам студент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Вышки может перевестись на образовательную программу без отчисления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той образовательной программы, студентом которой он является в момент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перевода.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Подача заявки на перевод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Процедура подачи и рассмотрения заявок аналогична процедуре перевода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для обучения по одной образовательной программе. </w:t>
            </w:r>
          </w:p>
        </w:tc>
      </w:tr>
    </w:tbl>
    <w:p>
      <w:pPr>
        <w:autoSpaceDN w:val="0"/>
        <w:autoSpaceDE w:val="0"/>
        <w:widowControl/>
        <w:spacing w:line="245" w:lineRule="auto" w:before="670" w:after="172"/>
        <w:ind w:left="304" w:right="129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Перевод на другую программу студента, обучающегося в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пределах квоты Правительства РФ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Основная информация</w:t>
            </w:r>
          </w:p>
        </w:tc>
      </w:tr>
    </w:tbl>
    <w:p>
      <w:pPr>
        <w:autoSpaceDN w:val="0"/>
        <w:autoSpaceDE w:val="0"/>
        <w:widowControl/>
        <w:spacing w:line="240" w:lineRule="auto" w:before="154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Перевод иностранного студента, обучающегося на бюджетной основе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78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" w:after="0"/>
              <w:ind w:left="828" w:right="100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пределах квоты Правительства РФ возможен в рамках одной укрупненной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группы направлений/специальностей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(с изменением направления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подготовки / без изменения).</w:t>
            </w:r>
          </w:p>
        </w:tc>
      </w:tr>
    </w:tbl>
    <w:p>
      <w:pPr>
        <w:autoSpaceDN w:val="0"/>
        <w:autoSpaceDE w:val="0"/>
        <w:widowControl/>
        <w:spacing w:line="264" w:lineRule="auto" w:before="20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изменения направления подготовки (в рамках одной укрупненной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группы) перевод возможен только при наличии письменного согласия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Министерства науки и высшего образования РФ.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Перевод на полностью платные образовательные программы возможен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14"/>
        </w:trPr>
        <w:tc>
          <w:tcPr>
            <w:tcW w:type="dxa" w:w="9150"/>
            <w:tcBorders>
              <w:bottom w:sz="5.600000000000364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только на вакантное коммерческое место (при их наличии).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 Укрупненная группа — группа, в состав которой входят направления подготовки, по</w:t>
            </w:r>
          </w:p>
        </w:tc>
      </w:tr>
    </w:tbl>
    <w:p>
      <w:pPr>
        <w:autoSpaceDN w:val="0"/>
        <w:autoSpaceDE w:val="0"/>
        <w:widowControl/>
        <w:spacing w:line="240" w:lineRule="auto" w:before="52" w:after="58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которым реализуются образовательные программы. Например, если Вы обучаетесь по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86"/>
        </w:trPr>
        <w:tc>
          <w:tcPr>
            <w:tcW w:type="dxa" w:w="98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образовательной программе «Экономика» направления подготовки 38.03.01 Экономика,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то перевод возможен на образовательные программы, которые реализуются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направлениям подготовки, начинающимся с 38.00.00 (перевод на образовательную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53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5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программу «Дизайн» по направлению подготовки 54.03.01 Дизайн невозможен). </w:t>
            </w:r>
          </w:p>
        </w:tc>
      </w:tr>
    </w:tbl>
    <w:p>
      <w:pPr>
        <w:autoSpaceDN w:val="0"/>
        <w:autoSpaceDE w:val="0"/>
        <w:widowControl/>
        <w:spacing w:line="8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если в направлении на обучение, выданном Минобрнауки России,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указано, что Вы направлены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на обучение в один из филиалов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ФГАОУ ВПО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«Национальный исследовательский университет «Высшая школа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экономики», то перевод в рамках одной укрупненной группы направлений/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специальностей (с изменением направления подготовки / без изменения)</w:t>
      </w:r>
    </w:p>
    <w:p>
      <w:pPr>
        <w:autoSpaceDN w:val="0"/>
        <w:autoSpaceDE w:val="0"/>
        <w:widowControl/>
        <w:spacing w:line="240" w:lineRule="auto" w:before="50" w:after="24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возможен в третьем квартале только при наличии письменного согласия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Минобрнауки России.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72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2" w:after="0"/>
              <w:ind w:left="458" w:right="144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Сроки перевода без изменения направления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подготовки (в рамках одной УГНС)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Подача заявок осуществляется в сроки приема заявок, установленные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образовательными программами. Информация публикуется на сайтах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образовательных программ в разделе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«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Число студентов и вакантные места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Для студентов 1 курса образовательной программы бакалавриата/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специалитета: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перевод возможен только после сессии 2 модуля. Заявку</w:t>
      </w:r>
    </w:p>
    <w:p>
      <w:pPr>
        <w:autoSpaceDN w:val="0"/>
        <w:autoSpaceDE w:val="0"/>
        <w:widowControl/>
        <w:spacing w:line="240" w:lineRule="auto" w:before="5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подать в декабрьский период перевода, но приказ о переводе будет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издан только по завершению сессии 2 модуля.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1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2" w:after="0"/>
              <w:ind w:left="828" w:right="187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Сроки перевода с изменением направления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подготовки (в рамках одной УГНС)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соответствии с требованиями Минобрнауки России перевод с изменением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10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направления подготовки и сохранением бюджетного места в пределах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7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квоты Правительства РФ осуществляется в третьем квартале.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Подать заявку можно в летний период переводов в сроки, установленные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образовательными программами на сайтах образовательных программ.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Даты приема заявок публикуются перед началом периода перевода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сайтах образовательных программ в разделе «Число студентов и вакантные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128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места».</w:t>
            </w:r>
          </w:p>
        </w:tc>
      </w:tr>
    </w:tbl>
    <w:p>
      <w:pPr>
        <w:autoSpaceDN w:val="0"/>
        <w:autoSpaceDE w:val="0"/>
        <w:widowControl/>
        <w:spacing w:line="245" w:lineRule="auto" w:before="826" w:after="0"/>
        <w:ind w:left="304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Последовательность действий при переводе на другую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образовательную программу с сохранением квотного места</w:t>
      </w:r>
    </w:p>
    <w:p>
      <w:pPr>
        <w:autoSpaceDN w:val="0"/>
        <w:autoSpaceDE w:val="0"/>
        <w:widowControl/>
        <w:spacing w:line="240" w:lineRule="auto" w:before="226" w:after="0"/>
        <w:ind w:left="30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Данная последовательность действий описывает процедуру перевода на другую</w:t>
      </w:r>
    </w:p>
    <w:p>
      <w:pPr>
        <w:autoSpaceDN w:val="0"/>
        <w:autoSpaceDE w:val="0"/>
        <w:widowControl/>
        <w:spacing w:line="240" w:lineRule="auto" w:before="66" w:after="0"/>
        <w:ind w:left="30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образовательную программу в рамках одной укрупненной группы направлений/</w:t>
      </w:r>
    </w:p>
    <w:p>
      <w:pPr>
        <w:autoSpaceDN w:val="0"/>
        <w:autoSpaceDE w:val="0"/>
        <w:widowControl/>
        <w:spacing w:line="240" w:lineRule="auto" w:before="52" w:after="870"/>
        <w:ind w:left="304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специальностей без изменения НП(с).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824"/>
      </w:tblGrid>
      <w:tr>
        <w:trPr>
          <w:trHeight w:hRule="exact" w:val="7174"/>
        </w:trPr>
        <w:tc>
          <w:tcPr>
            <w:tcW w:type="dxa" w:w="10186"/>
            <w:tcBorders>
              <w:start w:sz="6.0" w:val="single" w:color="#EFEFEF"/>
              <w:end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Выберите образовательную программу для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1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перевода, реализуемую в рамках одного НП(с)</w:t>
            </w:r>
          </w:p>
          <w:p>
            <w:pPr>
              <w:autoSpaceDN w:val="0"/>
              <w:autoSpaceDE w:val="0"/>
              <w:widowControl/>
              <w:spacing w:line="240" w:lineRule="auto" w:before="200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Каталог программ бакалавриата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Каталог программ магистратуры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45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Заполните заявку на перевод в ЕЛК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Заявку необходимо подать через свой личный кабинет 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 xml:space="preserve">ЕЛК 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модуле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«Движение студента».</w:t>
            </w:r>
          </w:p>
        </w:tc>
      </w:tr>
      <w:tr>
        <w:trPr>
          <w:trHeight w:hRule="exact" w:val="40"/>
        </w:trPr>
        <w:tc>
          <w:tcPr>
            <w:tcW w:type="dxa" w:w="1018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871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Получите решение технической экспертизы в ЕЛК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результата технической экспертизы заявки в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сообщениях в ЕЛК Вы получите информацию о дальнейших шагах.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Пройдите аттестационные испытания (при их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5.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решения образовательной программы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 переводе</w:t>
            </w:r>
          </w:p>
          <w:p>
            <w:pPr>
              <w:autoSpaceDN w:val="0"/>
              <w:autoSpaceDE w:val="0"/>
              <w:widowControl/>
              <w:spacing w:line="240" w:lineRule="auto" w:before="21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аттестационная комиссия приняла положительное решение о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переводе, сообщите менеджеру интересующей программы о принятом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0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решении или отмените свое заявление.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06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решения аттестационная комиссия определит: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элементов учебного плана, которые могут быть перезачтены;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дисциплин, подлежащих изучению или переаттестации;</w:t>
            </w:r>
          </w:p>
        </w:tc>
      </w:tr>
      <w:tr>
        <w:trPr>
          <w:trHeight w:hRule="exact" w:val="524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курс, на котором студент продолжит обучение;</w:t>
            </w:r>
          </w:p>
        </w:tc>
      </w:tr>
    </w:tbl>
    <w:p>
      <w:pPr>
        <w:autoSpaceDN w:val="0"/>
        <w:autoSpaceDE w:val="0"/>
        <w:widowControl/>
        <w:spacing w:line="274" w:lineRule="auto" w:before="200" w:after="26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Количество зачетных единиц (кредитов), которое может быть включено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индивидуальный учебный план студента на один год, определяет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образовательный стандарт, согласно которому разработана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образовательная программа. Если дисциплины не могут быть перезачтены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студенту или обнаруживаются неизученные дисциплины (разделы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дисциплин), в ИУП студента включаются эти дисциплины дополнительно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стандартному списку элементов учебного плана того курса, на который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8"/>
        </w:trPr>
        <w:tc>
          <w:tcPr>
            <w:tcW w:type="dxa" w:w="10066"/>
            <w:tcBorders>
              <w:bottom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переводится студент.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2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00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6.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Согласуйте индивидуальный учебный план 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издания приказа</w:t>
            </w:r>
          </w:p>
          <w:p>
            <w:pPr>
              <w:autoSpaceDN w:val="0"/>
              <w:autoSpaceDE w:val="0"/>
              <w:widowControl/>
              <w:spacing w:line="240" w:lineRule="auto" w:before="21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решения согласуйте проект индивидуального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плана, полученный от менеджера образовательной программы,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дождитесь издания приказа о переводе и приступите к занятиям.</w:t>
            </w:r>
          </w:p>
        </w:tc>
      </w:tr>
    </w:tbl>
    <w:p>
      <w:pPr>
        <w:autoSpaceDN w:val="0"/>
        <w:autoSpaceDE w:val="0"/>
        <w:widowControl/>
        <w:spacing w:line="245" w:lineRule="auto" w:before="836" w:after="0"/>
        <w:ind w:left="304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Последовательность действий при переводе на другую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образовательную программу с сохранением квотного места</w:t>
      </w:r>
    </w:p>
    <w:p>
      <w:pPr>
        <w:autoSpaceDN w:val="0"/>
        <w:autoSpaceDE w:val="0"/>
        <w:widowControl/>
        <w:spacing w:line="266" w:lineRule="auto" w:before="226" w:after="0"/>
        <w:ind w:left="304" w:right="57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Данная последовательность действий описывает процедуру перевода на другую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образовательную программу в рамках одной укрупненной группы направлений/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специальностей с изменением НП(с).</w:t>
      </w:r>
    </w:p>
    <w:p>
      <w:pPr>
        <w:autoSpaceDN w:val="0"/>
        <w:autoSpaceDE w:val="0"/>
        <w:widowControl/>
        <w:spacing w:line="266" w:lineRule="auto" w:before="246" w:after="268"/>
        <w:ind w:left="304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Подача заявок возможна только в июньский период перевода в сроки,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установленные образовательной программой. Данное ограничение связано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требованием Министерства образования и науки РФ.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824"/>
      </w:tblGrid>
      <w:tr>
        <w:trPr>
          <w:trHeight w:hRule="exact" w:val="7040"/>
        </w:trPr>
        <w:tc>
          <w:tcPr>
            <w:tcW w:type="dxa" w:w="10126"/>
            <w:tcBorders>
              <w:start w:sz="6.0" w:val="single" w:color="#EFEFEF"/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Выберите образовательную программу для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1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перевода, реализуемую в рамках одной УГНС</w:t>
            </w:r>
          </w:p>
          <w:p>
            <w:pPr>
              <w:autoSpaceDN w:val="0"/>
              <w:autoSpaceDE w:val="0"/>
              <w:widowControl/>
              <w:spacing w:line="240" w:lineRule="auto" w:before="216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Каталог программ бакалавриата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Каталог программ магистратуры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690" w:after="0"/>
              <w:ind w:left="45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Заполните заявку на перевод в ЕЛК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Заявку необходимо подать через модуль «Движение студента» 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ЕЛК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</w:tc>
      </w:tr>
      <w:tr>
        <w:trPr>
          <w:trHeight w:hRule="exact" w:val="646"/>
        </w:trPr>
        <w:tc>
          <w:tcPr>
            <w:tcW w:type="dxa" w:w="10126"/>
            <w:tcBorders>
              <w:start w:sz="6.0" w:val="single" w:color="#EFEFEF"/>
              <w:top w:sz="6.0" w:val="single" w:color="#EFEFE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2" w:right="542" w:bottom="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871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Получите информационное сообщение в ЕЛК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результата технической экспертизы заявки в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сообщениях в ЕЛК Вы получите информацию о дальнейших шагах.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Пройдите аттестационные испытания (при их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5.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решения образовательной программы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 переводе</w:t>
            </w:r>
          </w:p>
          <w:p>
            <w:pPr>
              <w:autoSpaceDN w:val="0"/>
              <w:autoSpaceDE w:val="0"/>
              <w:widowControl/>
              <w:spacing w:line="240" w:lineRule="auto" w:before="21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Получите от менеджера интересующей программы информацию о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принятом с учетом аттестации решении (включая курс (модуль), на который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0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возможен перевод) и проект индивидуального учебного плана.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06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решения аттестационная комиссия определит: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элементов учебного плана, которые могут быть перезачтены;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дисциплин, подлежащих изучению или переаттестации;</w:t>
            </w:r>
          </w:p>
        </w:tc>
      </w:tr>
      <w:tr>
        <w:trPr>
          <w:trHeight w:hRule="exact" w:val="524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курс, на котором студент продолжит обучение;</w:t>
            </w:r>
          </w:p>
        </w:tc>
      </w:tr>
    </w:tbl>
    <w:p>
      <w:pPr>
        <w:autoSpaceDN w:val="0"/>
        <w:autoSpaceDE w:val="0"/>
        <w:widowControl/>
        <w:spacing w:line="274" w:lineRule="auto" w:before="200" w:after="26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Количество зачетных единиц (кредитов), которое может быть включено в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индивидуальный учебный планстудента на один год, определяет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образовательный стандарт, согласно которому разработана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образовательная программа. Если дисциплины не могут быть перезачтены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студенту или обнаруживаются неизученные дисциплины (разделы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дисциплин), в ИУП студента включаются эти дисциплины дополнительно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к стандартному списку элементов учебного плана того курса, на который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94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переводится студент.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Если программа приняла положительное решение о Вашем переводе, то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4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выполните следующие шаги.</w:t>
            </w:r>
          </w:p>
          <w:p>
            <w:pPr>
              <w:autoSpaceDN w:val="0"/>
              <w:autoSpaceDE w:val="0"/>
              <w:widowControl/>
              <w:spacing w:line="247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6.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Обратитесь в Посольство страны, направившей на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обучение, в России или в Представительство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Россотрудничества, где проходили отбор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Обратитесь в Посольство страны, направившей на обучение, в России или в</w:t>
            </w:r>
          </w:p>
        </w:tc>
      </w:tr>
    </w:tbl>
    <w:p>
      <w:pPr>
        <w:autoSpaceDN w:val="0"/>
        <w:autoSpaceDE w:val="0"/>
        <w:widowControl/>
        <w:spacing w:line="257" w:lineRule="auto" w:before="26" w:after="0"/>
        <w:ind w:left="720" w:right="1728" w:firstLine="0"/>
        <w:jc w:val="center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Представительство Россотрудничества в своей стране для получения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письма-ходатайства страны, направившей Вас на обучение в Россию.</w:t>
      </w:r>
    </w:p>
    <w:p>
      <w:pPr>
        <w:autoSpaceDN w:val="0"/>
        <w:autoSpaceDE w:val="0"/>
        <w:widowControl/>
        <w:spacing w:line="240" w:lineRule="auto" w:before="66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Полученный документ предоставьте менеджеру программы, на которую Вы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7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хотите переводиться.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7.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решения от Минобрнауки России о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вашем переводе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предварительного положительного решения о Вашем переводе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Менеджер образовательной программы направит 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3" w:history="1">
                <w:r>
                  <w:rPr>
                    <w:rStyle w:val="Hyperlink"/>
                  </w:rPr>
                  <w:t>Дирекцию по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64" w:lineRule="auto" w:before="34" w:after="0"/>
        <w:ind w:left="828" w:right="129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интернационализации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пакет Ваших документов. Менеджер Дирекции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интернационализации сформирует и отправит запрос о возможности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Вашего перевода в соответствующий департамент Минобрнауки России.</w:t>
      </w:r>
    </w:p>
    <w:p>
      <w:pPr>
        <w:autoSpaceDN w:val="0"/>
        <w:autoSpaceDE w:val="0"/>
        <w:widowControl/>
        <w:spacing w:line="240" w:lineRule="auto" w:before="26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получения положительного ответа от Минобрнауки России, будет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издан приказ о вашем переводе на новую программу.</w:t>
            </w:r>
          </w:p>
        </w:tc>
      </w:tr>
    </w:tbl>
    <w:p>
      <w:pPr>
        <w:autoSpaceDN w:val="0"/>
        <w:autoSpaceDE w:val="0"/>
        <w:widowControl/>
        <w:spacing w:line="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87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2108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Регламентирующие документы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52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Правила перевода студентов программ бакалавриата, специалитета,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647700</wp:posOffset>
                  </wp:positionV>
                  <wp:extent cx="5143500" cy="25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магистратуры Национального исследовательского университета «Высшая</w:t>
          </w:r>
        </w:hyperlink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школа экономики» и студентов программ бакалавриата, специалитета,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1155700</wp:posOffset>
            </wp:positionV>
            <wp:extent cx="5308600" cy="25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магистратуры других образовательных организаций в Национальный</w:t>
          </w:r>
        </w:hyperlink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исследовательский университет «Высшая 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</w:t>
      </w:r>
    </w:p>
    <w:p>
      <w:pPr>
        <w:autoSpaceDN w:val="0"/>
        <w:autoSpaceDE w:val="0"/>
        <w:widowControl/>
        <w:spacing w:line="240" w:lineRule="auto" w:before="0" w:after="2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1651000</wp:posOffset>
            </wp:positionV>
            <wp:extent cx="4559300" cy="25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1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01.01.2026)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Положение о порядке проведения аттестации и зачета результатов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2286000</wp:posOffset>
                  </wp:positionV>
                  <wp:extent cx="5067300" cy="254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4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предыдущего образования при освоении образовательных программ</w:t>
          </w:r>
        </w:hyperlink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высшего образования – программ бакалавриата, специалитета и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2781300</wp:posOffset>
            </wp:positionV>
            <wp:extent cx="4876800" cy="25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4" w:after="24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магистратуры в Национальном исследовательском университете «Высшая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81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школа экономики»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3289300</wp:posOffset>
                  </wp:positionV>
                  <wp:extent cx="1422400" cy="254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938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76" w:after="0"/>
              <w:ind w:left="52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Остались вопросы?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Напишите на почту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1" w:history="1">
                <w:r>
                  <w:rPr>
                    <w:rStyle w:val="Hyperlink"/>
                  </w:rPr>
                  <w:t>Центра сервиса «Студент»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42" w:history="1">
                <w:r>
                  <w:rPr>
                    <w:rStyle w:val="Hyperlink"/>
                  </w:rPr>
                  <w:t>studcentre@hse.ru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или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свяжитесь с нами иным удобным способом</w:t>
            </w:r>
          </w:p>
        </w:tc>
      </w:tr>
    </w:tbl>
    <w:p>
      <w:pPr>
        <w:autoSpaceDN w:val="0"/>
        <w:autoSpaceDE w:val="0"/>
        <w:widowControl/>
        <w:spacing w:line="240" w:lineRule="auto" w:before="1188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6807200</wp:posOffset>
            </wp:positionV>
            <wp:extent cx="508000" cy="2413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7188200</wp:posOffset>
            </wp:positionV>
            <wp:extent cx="1346200" cy="317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7686040</wp:posOffset>
            </wp:positionV>
            <wp:extent cx="228600" cy="228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62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0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Устойчивое развитие в НИУ ВШЭ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8763000</wp:posOffset>
            </wp:positionV>
            <wp:extent cx="6877050" cy="152012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5201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3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43" w:lineRule="auto" w:before="184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2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Типография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424180</wp:posOffset>
            </wp:positionV>
            <wp:extent cx="6877050" cy="306246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0624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94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9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programme_change/#rf" TargetMode="External"/><Relationship Id="rId12" Type="http://schemas.openxmlformats.org/officeDocument/2006/relationships/hyperlink" Target="https://www.hse.ru/studyspravka/programme_change/#2" TargetMode="External"/><Relationship Id="rId13" Type="http://schemas.openxmlformats.org/officeDocument/2006/relationships/hyperlink" Target="https://www.hse.ru/studyspravka/programme_change/#3" TargetMode="External"/><Relationship Id="rId14" Type="http://schemas.openxmlformats.org/officeDocument/2006/relationships/hyperlink" Target="https://www.hse.ru/studyspravka/programme_change/#1" TargetMode="External"/><Relationship Id="rId15" Type="http://schemas.openxmlformats.org/officeDocument/2006/relationships/hyperlink" Target="https://www.hse.ru/studyspravka/programme_change/#4" TargetMode="External"/><Relationship Id="rId16" Type="http://schemas.openxmlformats.org/officeDocument/2006/relationships/hyperlink" Target="https://www.hse.ru/studyspravka/programme_change/#5" TargetMode="External"/><Relationship Id="rId17" Type="http://schemas.openxmlformats.org/officeDocument/2006/relationships/hyperlink" Target="https://www.hse.ru/studyspravka/programme_change/#6" TargetMode="External"/><Relationship Id="rId18" Type="http://schemas.openxmlformats.org/officeDocument/2006/relationships/hyperlink" Target="https://www.hse.ru/studyspravka/programme_change/#7" TargetMode="External"/><Relationship Id="rId19" Type="http://schemas.openxmlformats.org/officeDocument/2006/relationships/hyperlink" Target="https://www.hse.ru/studyspravka/programme_change/#8" TargetMode="External"/><Relationship Id="rId20" Type="http://schemas.openxmlformats.org/officeDocument/2006/relationships/hyperlink" Target="https://www.hse.ru/studyspravka/programme_change/#9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hyperlink" Target="https://www.hse.ru/education/" TargetMode="External"/><Relationship Id="rId24" Type="http://schemas.openxmlformats.org/officeDocument/2006/relationships/image" Target="media/image3.png"/><Relationship Id="rId25" Type="http://schemas.openxmlformats.org/officeDocument/2006/relationships/hyperlink" Target="https://www.hse.ru/studyspravka/new_regulations" TargetMode="External"/><Relationship Id="rId26" Type="http://schemas.openxmlformats.org/officeDocument/2006/relationships/hyperlink" Target="https://www.hse.ru/docs/838685738.html" TargetMode="External"/><Relationship Id="rId27" Type="http://schemas.openxmlformats.org/officeDocument/2006/relationships/hyperlink" Target="https://lk.hse.ru/student-services?section=movementstudent&amp;subsection=transfer" TargetMode="External"/><Relationship Id="rId28" Type="http://schemas.openxmlformats.org/officeDocument/2006/relationships/hyperlink" Target="https://www.hse.ru/studyspravka/credits" TargetMode="External"/><Relationship Id="rId29" Type="http://schemas.openxmlformats.org/officeDocument/2006/relationships/hyperlink" Target="https://www.hse.ru/studyspravka/plan" TargetMode="External"/><Relationship Id="rId30" Type="http://schemas.openxmlformats.org/officeDocument/2006/relationships/hyperlink" Target="https://www.hse.ru/standards/standard" TargetMode="External"/><Relationship Id="rId31" Type="http://schemas.openxmlformats.org/officeDocument/2006/relationships/hyperlink" Target="https://www.hse.ru/n/education/bachelor" TargetMode="External"/><Relationship Id="rId32" Type="http://schemas.openxmlformats.org/officeDocument/2006/relationships/hyperlink" Target="https://www.hse.ru/n/education/magister?campus=51999662" TargetMode="External"/><Relationship Id="rId33" Type="http://schemas.openxmlformats.org/officeDocument/2006/relationships/hyperlink" Target="https://iai.hse.ru/" TargetMode="External"/><Relationship Id="rId34" Type="http://schemas.openxmlformats.org/officeDocument/2006/relationships/hyperlink" Target="https://www.hse.ru/docs/1111220555.html" TargetMode="External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image" Target="media/image7.png"/><Relationship Id="rId39" Type="http://schemas.openxmlformats.org/officeDocument/2006/relationships/image" Target="media/image8.png"/><Relationship Id="rId40" Type="http://schemas.openxmlformats.org/officeDocument/2006/relationships/image" Target="media/image9.png"/><Relationship Id="rId41" Type="http://schemas.openxmlformats.org/officeDocument/2006/relationships/hyperlink" Target="https://studentcentre.hse.ru/" TargetMode="External"/><Relationship Id="rId42" Type="http://schemas.openxmlformats.org/officeDocument/2006/relationships/hyperlink" Target="http://studcentre@hse.ru/" TargetMode="External"/><Relationship Id="rId43" Type="http://schemas.openxmlformats.org/officeDocument/2006/relationships/image" Target="media/image10.png"/><Relationship Id="rId44" Type="http://schemas.openxmlformats.org/officeDocument/2006/relationships/image" Target="media/image11.png"/><Relationship Id="rId45" Type="http://schemas.openxmlformats.org/officeDocument/2006/relationships/image" Target="media/image12.png"/><Relationship Id="rId46" Type="http://schemas.openxmlformats.org/officeDocument/2006/relationships/hyperlink" Target="https://www.hse.ru/org/hse/info/" TargetMode="External"/><Relationship Id="rId47" Type="http://schemas.openxmlformats.org/officeDocument/2006/relationships/hyperlink" Target="https://figures.hse.ru/" TargetMode="External"/><Relationship Id="rId48" Type="http://schemas.openxmlformats.org/officeDocument/2006/relationships/hyperlink" Target="https://www.hse.ru/orgstructure/" TargetMode="External"/><Relationship Id="rId49" Type="http://schemas.openxmlformats.org/officeDocument/2006/relationships/hyperlink" Target="https://sustainability.hse.ru/" TargetMode="External"/><Relationship Id="rId50" Type="http://schemas.openxmlformats.org/officeDocument/2006/relationships/hyperlink" Target="https://www.hse.ru/org/persons/" TargetMode="External"/><Relationship Id="rId51" Type="http://schemas.openxmlformats.org/officeDocument/2006/relationships/hyperlink" Target="https://www.hse.ru/buildinghse" TargetMode="External"/><Relationship Id="rId52" Type="http://schemas.openxmlformats.org/officeDocument/2006/relationships/hyperlink" Target="https://www.hse.ru/org/hse/aup/procurement/" TargetMode="External"/><Relationship Id="rId53" Type="http://schemas.openxmlformats.org/officeDocument/2006/relationships/hyperlink" Target="https://www.hse.ru/appeal/" TargetMode="External"/><Relationship Id="rId54" Type="http://schemas.openxmlformats.org/officeDocument/2006/relationships/hyperlink" Target="https://endowment.hse.ru/" TargetMode="External"/><Relationship Id="rId55" Type="http://schemas.openxmlformats.org/officeDocument/2006/relationships/hyperlink" Target="https://www.hse.ru/anticorruption" TargetMode="External"/><Relationship Id="rId56" Type="http://schemas.openxmlformats.org/officeDocument/2006/relationships/hyperlink" Target="https://www.hse.ru/anticorruption/information" TargetMode="External"/><Relationship Id="rId57" Type="http://schemas.openxmlformats.org/officeDocument/2006/relationships/hyperlink" Target="https://www.hse.ru/sveden/" TargetMode="External"/><Relationship Id="rId58" Type="http://schemas.openxmlformats.org/officeDocument/2006/relationships/hyperlink" Target="https://inclusive.hse.ru/" TargetMode="External"/><Relationship Id="rId59" Type="http://schemas.openxmlformats.org/officeDocument/2006/relationships/hyperlink" Target="https://pay.hse.ru/" TargetMode="External"/><Relationship Id="rId60" Type="http://schemas.openxmlformats.org/officeDocument/2006/relationships/hyperlink" Target="https://www.hse.ru/career" TargetMode="External"/><Relationship Id="rId61" Type="http://schemas.openxmlformats.org/officeDocument/2006/relationships/hyperlink" Target="https://school.hse.ru/" TargetMode="External"/><Relationship Id="rId62" Type="http://schemas.openxmlformats.org/officeDocument/2006/relationships/hyperlink" Target="https://fdp.hse.ru/" TargetMode="External"/><Relationship Id="rId63" Type="http://schemas.openxmlformats.org/officeDocument/2006/relationships/hyperlink" Target="https://olymp.hse.ru/" TargetMode="External"/><Relationship Id="rId64" Type="http://schemas.openxmlformats.org/officeDocument/2006/relationships/hyperlink" Target="https://ba.hse.ru/" TargetMode="External"/><Relationship Id="rId65" Type="http://schemas.openxmlformats.org/officeDocument/2006/relationships/hyperlink" Target="https://www.hse.ru/plus" TargetMode="External"/><Relationship Id="rId66" Type="http://schemas.openxmlformats.org/officeDocument/2006/relationships/hyperlink" Target="https://ma.hse.ru/" TargetMode="External"/><Relationship Id="rId67" Type="http://schemas.openxmlformats.org/officeDocument/2006/relationships/hyperlink" Target="https://aspirantura.hse.ru/" TargetMode="External"/><Relationship Id="rId68" Type="http://schemas.openxmlformats.org/officeDocument/2006/relationships/hyperlink" Target="https://busedu.hse.ru/" TargetMode="External"/><Relationship Id="rId69" Type="http://schemas.openxmlformats.org/officeDocument/2006/relationships/hyperlink" Target="https://career.hse.ru/" TargetMode="External"/><Relationship Id="rId70" Type="http://schemas.openxmlformats.org/officeDocument/2006/relationships/hyperlink" Target="http://inc.hse.ru/" TargetMode="External"/><Relationship Id="rId71" Type="http://schemas.openxmlformats.org/officeDocument/2006/relationships/hyperlink" Target="https://dd.hse.ru/" TargetMode="External"/><Relationship Id="rId72" Type="http://schemas.openxmlformats.org/officeDocument/2006/relationships/hyperlink" Target="https://www.hse.ru/feedback" TargetMode="External"/><Relationship Id="rId73" Type="http://schemas.openxmlformats.org/officeDocument/2006/relationships/hyperlink" Target="https://www.hse.ru/science/" TargetMode="External"/><Relationship Id="rId74" Type="http://schemas.openxmlformats.org/officeDocument/2006/relationships/hyperlink" Target="https://www.hse.ru/science/centers" TargetMode="External"/><Relationship Id="rId75" Type="http://schemas.openxmlformats.org/officeDocument/2006/relationships/hyperlink" Target="https://www.hse.ru/org/projects/" TargetMode="External"/><Relationship Id="rId76" Type="http://schemas.openxmlformats.org/officeDocument/2006/relationships/hyperlink" Target="https://www.hse.ru/monitoring/" TargetMode="External"/><Relationship Id="rId77" Type="http://schemas.openxmlformats.org/officeDocument/2006/relationships/hyperlink" Target="https://www.hse.ru/science/disscoun/" TargetMode="External"/><Relationship Id="rId78" Type="http://schemas.openxmlformats.org/officeDocument/2006/relationships/hyperlink" Target="https://aspirantura.hse.ru/defence/announcements/" TargetMode="External"/><Relationship Id="rId79" Type="http://schemas.openxmlformats.org/officeDocument/2006/relationships/hyperlink" Target="https://academics.hse.ru/" TargetMode="External"/><Relationship Id="rId80" Type="http://schemas.openxmlformats.org/officeDocument/2006/relationships/hyperlink" Target="https://www.hse.ru/science/hsegrants" TargetMode="External"/><Relationship Id="rId81" Type="http://schemas.openxmlformats.org/officeDocument/2006/relationships/hyperlink" Target="https://sezam.hse.ru/" TargetMode="External"/><Relationship Id="rId82" Type="http://schemas.openxmlformats.org/officeDocument/2006/relationships/hyperlink" Target="https://publications.hse.ru/" TargetMode="External"/><Relationship Id="rId83" Type="http://schemas.openxmlformats.org/officeDocument/2006/relationships/hyperlink" Target="https://library.hse.ru/" TargetMode="External"/><Relationship Id="rId84" Type="http://schemas.openxmlformats.org/officeDocument/2006/relationships/hyperlink" Target="https://id.hse.ru/" TargetMode="External"/><Relationship Id="rId85" Type="http://schemas.openxmlformats.org/officeDocument/2006/relationships/hyperlink" Target="https://bookshop.hse.ru/" TargetMode="External"/><Relationship Id="rId86" Type="http://schemas.openxmlformats.org/officeDocument/2006/relationships/hyperlink" Target="https://print.hse.ru/" TargetMode="External"/><Relationship Id="rId87" Type="http://schemas.openxmlformats.org/officeDocument/2006/relationships/image" Target="media/image13.png"/><Relationship Id="rId88" Type="http://schemas.openxmlformats.org/officeDocument/2006/relationships/hyperlink" Target="https://mc.hse.ru/" TargetMode="External"/><Relationship Id="rId89" Type="http://schemas.openxmlformats.org/officeDocument/2006/relationships/hyperlink" Target="https://www.hse.ru/science/journals" TargetMode="External"/><Relationship Id="rId90" Type="http://schemas.openxmlformats.org/officeDocument/2006/relationships/hyperlink" Target="http://www.minobrnauki.gov.ru/" TargetMode="External"/><Relationship Id="rId91" Type="http://schemas.openxmlformats.org/officeDocument/2006/relationships/hyperlink" Target="https://edu.gov.ru/" TargetMode="External"/><Relationship Id="rId92" Type="http://schemas.openxmlformats.org/officeDocument/2006/relationships/hyperlink" Target="http://www.edu.ru/" TargetMode="External"/><Relationship Id="rId93" Type="http://schemas.openxmlformats.org/officeDocument/2006/relationships/hyperlink" Target="https://elearning.hse.ru/mooc" TargetMode="External"/><Relationship Id="rId94" Type="http://schemas.openxmlformats.org/officeDocument/2006/relationships/hyperlink" Target="https://www.hse.ru/adm/edit/edit.html?goto=%2AL3N0dWR5c3ByYXZrYS9wcm9ncmFtbWVfY2hhbmdlP19yPTM2MjE0MTgxNzc1MDgxODIxLjMyNTQ%3D%5E&amp;id=828237887&amp;cid=20594&amp;addon_name=default&amp;newportal=1" TargetMode="External"/><Relationship Id="rId95" Type="http://schemas.openxmlformats.org/officeDocument/2006/relationships/hyperlink" Target="https://www.hse.ru/contacts.html" TargetMode="External"/><Relationship Id="rId96" Type="http://schemas.openxmlformats.org/officeDocument/2006/relationships/hyperlink" Target="https://www.hse.ru/copyright" TargetMode="External"/><Relationship Id="rId97" Type="http://schemas.openxmlformats.org/officeDocument/2006/relationships/hyperlink" Target="https://www.hse.ru/data_protection_regulation" TargetMode="External"/><Relationship Id="rId98" Type="http://schemas.openxmlformats.org/officeDocument/2006/relationships/hyperlink" Target="https://www.hse.ru/sitemap.html" TargetMode="External"/><Relationship Id="rId99" Type="http://schemas.openxmlformats.org/officeDocument/2006/relationships/hyperlink" Target="https://design.hse.ru/" TargetMode="External"/><Relationship Id="rId10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