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7190740</wp:posOffset>
            </wp:positionV>
            <wp:extent cx="285750" cy="2857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8105140</wp:posOffset>
            </wp:positionV>
            <wp:extent cx="285750" cy="285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1915160</wp:posOffset>
            </wp:positionH>
            <wp:positionV relativeFrom="page">
              <wp:posOffset>6762750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3797300</wp:posOffset>
            </wp:positionV>
            <wp:extent cx="6654800" cy="6477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647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230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Памятка по работе в Конструкторе ПУД 2.0: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для ППС</w:t>
      </w:r>
    </w:p>
    <w:p>
      <w:pPr>
        <w:autoSpaceDN w:val="0"/>
        <w:autoSpaceDE w:val="0"/>
        <w:widowControl/>
        <w:spacing w:line="240" w:lineRule="auto" w:before="468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p>
      <w:pPr>
        <w:autoSpaceDN w:val="0"/>
        <w:autoSpaceDE w:val="0"/>
        <w:widowControl/>
        <w:spacing w:line="240" w:lineRule="auto" w:before="652" w:after="0"/>
        <w:ind w:left="472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B94D1"/>
          <w:sz w:val="31"/>
        </w:rPr>
        <w:t>Рабочая программа учебной дисциплины (РПУД)</w:t>
      </w:r>
    </w:p>
    <w:p>
      <w:pPr>
        <w:autoSpaceDN w:val="0"/>
        <w:autoSpaceDE w:val="0"/>
        <w:widowControl/>
        <w:spacing w:line="274" w:lineRule="auto" w:before="232" w:after="0"/>
        <w:ind w:left="472" w:right="43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Рабочая программа учебной дисциплины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это итоговая версия ПУД,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привязанная к году реализации дисциплины, которая доступна для просмотра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студентам.  Содержательная часть дисциплины  - аннотация, цели освоения,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темы, плагируемые результаты, литература, материалы -  подтягивается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автоматически из Программы. Прежде чем работать с реализацией просьба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убедиться в актуальности программы.</w:t>
      </w:r>
    </w:p>
    <w:p>
      <w:pPr>
        <w:autoSpaceDN w:val="0"/>
        <w:autoSpaceDE w:val="0"/>
        <w:widowControl/>
        <w:spacing w:line="259" w:lineRule="auto" w:before="260" w:after="812"/>
        <w:ind w:left="432" w:right="576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реализации самостоятельно нужно заполнить часть раздела "Содержание",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разделы с текущим контролем, промежуточной аттестацией и  технологиями.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5117"/>
        <w:gridCol w:w="5117"/>
      </w:tblGrid>
      <w:tr>
        <w:trPr>
          <w:trHeight w:hRule="exact" w:val="506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СОДЕРЖАНИЕ</w:t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160" w:firstLine="0"/>
              <w:jc w:val="right"/>
            </w:pPr>
            <w:r>
              <w:rPr>
                <w:w w:val="102.33333375718858"/>
                <w:rFonts w:ascii="Segoe UI Semibold" w:hAnsi="Segoe UI Semibold" w:eastAsia="Segoe UI Semibold"/>
                <w:b/>
                <w:i w:val="0"/>
                <w:color w:val="007AC5"/>
                <w:sz w:val="18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69" w:lineRule="auto" w:before="426" w:after="0"/>
        <w:ind w:left="676" w:right="720" w:firstLine="45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При необходимости, можно создать новый раздел прямо в содержании РПУД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путем нажатия на кнопку </w:t>
      </w:r>
      <w:r>
        <w:rPr>
          <w:rFonts w:ascii="Segoe UI Semibold" w:hAnsi="Segoe UI Semibold" w:eastAsia="Segoe UI Semibold"/>
          <w:b/>
          <w:i w:val="0"/>
          <w:color w:val="000000"/>
          <w:sz w:val="23"/>
        </w:rPr>
        <w:t>"добавить раздел"</w:t>
      </w:r>
      <w:r>
        <w:rPr>
          <w:rFonts w:ascii="Segoe UI" w:hAnsi="Segoe UI" w:eastAsia="Segoe UI"/>
          <w:b w:val="0"/>
          <w:i w:val="0"/>
          <w:color w:val="000000"/>
          <w:sz w:val="23"/>
        </w:rPr>
        <w:t>, где далее вы сможете выбрать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существующий раздел из предложенных базисов, или создать абсолютно новый!</w:t>
      </w:r>
    </w:p>
    <w:p>
      <w:pPr>
        <w:autoSpaceDN w:val="0"/>
        <w:autoSpaceDE w:val="0"/>
        <w:widowControl/>
        <w:spacing w:line="240" w:lineRule="auto" w:before="416" w:after="0"/>
        <w:ind w:left="112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Новый базис при этом создавать не нужно!</w:t>
      </w:r>
    </w:p>
    <w:p>
      <w:pPr>
        <w:autoSpaceDN w:val="0"/>
        <w:autoSpaceDE w:val="0"/>
        <w:widowControl/>
        <w:spacing w:line="262" w:lineRule="auto" w:before="760" w:after="0"/>
        <w:ind w:left="676" w:right="187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разделе "Содержание" необходимо распределить часы аудиторной 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самостоятельной работы по разделам дисциплины.</w:t>
      </w:r>
    </w:p>
    <w:p>
      <w:pPr>
        <w:autoSpaceDN w:val="0"/>
        <w:autoSpaceDE w:val="0"/>
        <w:widowControl/>
        <w:spacing w:line="240" w:lineRule="auto" w:before="1366" w:after="0"/>
        <w:ind w:left="6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10200640</wp:posOffset>
            </wp:positionV>
            <wp:extent cx="2933700" cy="24587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587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438" w:right="828" w:bottom="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5196"/>
        </w:trPr>
        <w:tc>
          <w:tcPr>
            <w:tcW w:type="dxa" w:w="99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353060</wp:posOffset>
                  </wp:positionV>
                  <wp:extent cx="2933700" cy="245617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2456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212"/>
        </w:trPr>
        <w:tc>
          <w:tcPr>
            <w:tcW w:type="dxa" w:w="2250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1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ТЕКУЩИЙ КОНТРОЛЬ</w:t>
            </w:r>
          </w:p>
        </w:tc>
        <w:tc>
          <w:tcPr>
            <w:tcW w:type="dxa" w:w="7726"/>
            <w:tcBorders>
              <w:bottom w:sz="6.400000000000091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4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2410460</wp:posOffset>
                  </wp:positionH>
                  <wp:positionV relativeFrom="page">
                    <wp:posOffset>3952240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4"/>
        </w:trPr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разделе  "Текущий контроль" создаются элементы контроля по дисциплине.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976" w:right="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Рекомендации по созданию элемента контроля:</w:t>
      </w:r>
    </w:p>
    <w:p>
      <w:pPr>
        <w:autoSpaceDN w:val="0"/>
        <w:autoSpaceDE w:val="0"/>
        <w:widowControl/>
        <w:spacing w:line="240" w:lineRule="auto" w:before="160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включать в текущий контроль 2 и более элементов контроля; </w:t>
      </w:r>
    </w:p>
    <w:p>
      <w:pPr>
        <w:autoSpaceDN w:val="0"/>
        <w:autoSpaceDE w:val="0"/>
        <w:widowControl/>
        <w:spacing w:line="240" w:lineRule="auto" w:before="236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если элемент контроля весит 0.3 и более, необходимо прописать правила</w:t>
      </w:r>
    </w:p>
    <w:p>
      <w:pPr>
        <w:autoSpaceDN w:val="0"/>
        <w:autoSpaceDE w:val="0"/>
        <w:widowControl/>
        <w:spacing w:line="240" w:lineRule="auto" w:before="40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пересдачи  такого элемента контроля для студентов, пропустивших его по</w:t>
      </w:r>
    </w:p>
    <w:p>
      <w:pPr>
        <w:autoSpaceDN w:val="0"/>
        <w:autoSpaceDE w:val="0"/>
        <w:widowControl/>
        <w:spacing w:line="240" w:lineRule="auto" w:before="54" w:after="26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уважительной причине. Если предполагаются штрафы за позднюю сдачу работ, это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3657"/>
        <w:gridCol w:w="3657"/>
        <w:gridCol w:w="3657"/>
      </w:tblGrid>
      <w:tr>
        <w:trPr>
          <w:trHeight w:hRule="exact" w:val="436"/>
        </w:trPr>
        <w:tc>
          <w:tcPr>
            <w:tcW w:type="dxa" w:w="106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9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также необходимо прописать;</w:t>
            </w:r>
          </w:p>
        </w:tc>
      </w:tr>
      <w:tr>
        <w:trPr>
          <w:trHeight w:hRule="exact" w:val="680"/>
        </w:trPr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6267450</wp:posOffset>
                  </wp:positionV>
                  <wp:extent cx="285750" cy="28575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85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2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элемент контроля типа "Активность" не подлежит пересдаче</w:t>
            </w:r>
          </w:p>
        </w:tc>
      </w:tr>
      <w:tr>
        <w:trPr>
          <w:trHeight w:hRule="exact" w:val="500"/>
        </w:trPr>
        <w:tc>
          <w:tcPr>
            <w:tcW w:type="dxa" w:w="1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прописать критерии оценивания элемента контроля; </w:t>
            </w:r>
          </w:p>
        </w:tc>
      </w:tr>
      <w:tr>
        <w:trPr>
          <w:trHeight w:hRule="exact" w:val="520"/>
        </w:trPr>
        <w:tc>
          <w:tcPr>
            <w:tcW w:type="dxa" w:w="1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указать примеры заданий для элементов контроля;</w:t>
            </w:r>
          </w:p>
        </w:tc>
      </w:tr>
      <w:tr>
        <w:trPr>
          <w:trHeight w:hRule="exact" w:val="520"/>
        </w:trPr>
        <w:tc>
          <w:tcPr>
            <w:tcW w:type="dxa" w:w="1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связать элемент контроля с планируемыми результатами.</w:t>
            </w:r>
          </w:p>
        </w:tc>
      </w:tr>
      <w:tr>
        <w:trPr>
          <w:trHeight w:hRule="exact" w:val="720"/>
        </w:trPr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7686040</wp:posOffset>
                  </wp:positionV>
                  <wp:extent cx="285750" cy="287019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870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Рекомендации по выставлению оценок 9 и 10:</w:t>
            </w:r>
          </w:p>
        </w:tc>
      </w:tr>
      <w:tr>
        <w:trPr>
          <w:trHeight w:hRule="exact" w:val="412"/>
        </w:trPr>
        <w:tc>
          <w:tcPr>
            <w:tcW w:type="dxa" w:w="1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При заполнении программы дисциплины в блоке «Реализации»--&gt; «Текущий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контроль» --&gt; «Критерии оценивания» вы можете прописать, за выполнение каких</w:t>
      </w:r>
    </w:p>
    <w:p>
      <w:pPr>
        <w:autoSpaceDN w:val="0"/>
        <w:autoSpaceDE w:val="0"/>
        <w:widowControl/>
        <w:spacing w:line="240" w:lineRule="auto" w:before="54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дополнительных заданий студент может получить 9 или 10 баллов.</w:t>
      </w:r>
    </w:p>
    <w:p>
      <w:pPr>
        <w:autoSpaceDN w:val="0"/>
        <w:autoSpaceDE w:val="0"/>
        <w:widowControl/>
        <w:spacing w:line="240" w:lineRule="auto" w:before="220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Если вы не планируете указывать дополнительные задания, то в том же разделе</w:t>
      </w:r>
    </w:p>
    <w:p>
      <w:pPr>
        <w:autoSpaceDN w:val="0"/>
        <w:autoSpaceDE w:val="0"/>
        <w:widowControl/>
        <w:spacing w:line="240" w:lineRule="auto" w:before="56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можно прописать следующую формулировку «если обучающийся демонстрирует</w:t>
      </w:r>
    </w:p>
    <w:p>
      <w:pPr>
        <w:autoSpaceDN w:val="0"/>
        <w:autoSpaceDE w:val="0"/>
        <w:widowControl/>
        <w:spacing w:line="240" w:lineRule="auto" w:before="56" w:after="2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результаты обучения, превосходящие предусмотренные программой учебной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1642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9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дисциплины, то он может получить оценку 9 или 10 баллов».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6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368"/>
        </w:trPr>
        <w:tc>
          <w:tcPr>
            <w:tcW w:type="dxa" w:w="335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ПРОМЕЖУТОЧНАЯ АТТЕСТАЦИЯ</w:t>
            </w:r>
          </w:p>
        </w:tc>
        <w:tc>
          <w:tcPr>
            <w:tcW w:type="dxa" w:w="348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3114040</wp:posOffset>
                  </wp:positionH>
                  <wp:positionV relativeFrom="page">
                    <wp:posOffset>609600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3657"/>
        <w:gridCol w:w="3657"/>
        <w:gridCol w:w="3657"/>
      </w:tblGrid>
      <w:tr>
        <w:trPr>
          <w:trHeight w:hRule="exact" w:val="428"/>
        </w:trPr>
        <w:tc>
          <w:tcPr>
            <w:tcW w:type="dxa" w:w="106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 разделе "Промежуточная аттестация" необходимо:</w:t>
            </w:r>
          </w:p>
        </w:tc>
      </w:tr>
      <w:tr>
        <w:trPr>
          <w:trHeight w:hRule="exact" w:val="500"/>
        </w:trPr>
        <w:tc>
          <w:tcPr>
            <w:tcW w:type="dxa" w:w="1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указать вес каждого элемента контроля;</w:t>
            </w:r>
          </w:p>
        </w:tc>
      </w:tr>
      <w:tr>
        <w:trPr>
          <w:trHeight w:hRule="exact" w:val="650"/>
        </w:trPr>
        <w:tc>
          <w:tcPr>
            <w:tcW w:type="dxa" w:w="1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1686560</wp:posOffset>
                  </wp:positionV>
                  <wp:extent cx="285750" cy="284479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844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5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Вес одного ЭК не может составлять более 70% в общей оценке по промежуточной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976" w:right="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аттестации.</w:t>
      </w:r>
    </w:p>
    <w:p>
      <w:pPr>
        <w:autoSpaceDN w:val="0"/>
        <w:autoSpaceDE w:val="0"/>
        <w:widowControl/>
        <w:spacing w:line="262" w:lineRule="auto" w:before="160" w:after="0"/>
        <w:ind w:left="1262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прописать правило округления оценки. В случае его отсутствия, применяется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правило арифметического округления;</w:t>
      </w:r>
    </w:p>
    <w:p>
      <w:pPr>
        <w:autoSpaceDN w:val="0"/>
        <w:autoSpaceDE w:val="0"/>
        <w:widowControl/>
        <w:spacing w:line="240" w:lineRule="auto" w:before="220" w:after="0"/>
        <w:ind w:left="1262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прописать правила пересдачи: </w:t>
      </w:r>
    </w:p>
    <w:p>
      <w:pPr>
        <w:autoSpaceDN w:val="0"/>
        <w:autoSpaceDE w:val="0"/>
        <w:widowControl/>
        <w:spacing w:line="274" w:lineRule="auto" w:before="220" w:after="0"/>
        <w:ind w:left="1790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1. Если по дисциплине предусмотрен экзамен, то нужно прописать правило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второй пересдачи. Первая пересдача должна соответствовать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процедуре экзамена, за исключением формата проведения. Вторая пересдача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может отличаться  или совпадать с КИМами, используемыми на первой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пересдаче. Вес заданий второй пересдачи = вес экзамена в формуле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накопленной оценки.</w:t>
      </w:r>
    </w:p>
    <w:p>
      <w:pPr>
        <w:autoSpaceDN w:val="0"/>
        <w:autoSpaceDE w:val="0"/>
        <w:widowControl/>
        <w:spacing w:line="271" w:lineRule="auto" w:before="220" w:after="0"/>
        <w:ind w:left="1790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2. Если по дисциплине не предусмотрен  экзамен и нет блокирующих ЭК, то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необходимо прописать правила как для первой, так и для второй пересдач.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Пересдаче может подлежать как часть, так и весь набор элементов контроля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по дисциплине. Необходимо указать, какие элементы контроля подлежат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пересдаче и отразить способы расчета оценки. После проведения пересдачи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промежуточная оценка выводится по первоначальной формуле. </w:t>
      </w:r>
    </w:p>
    <w:p>
      <w:pPr>
        <w:autoSpaceDN w:val="0"/>
        <w:autoSpaceDE w:val="0"/>
        <w:widowControl/>
        <w:spacing w:line="269" w:lineRule="auto" w:before="220" w:after="0"/>
        <w:ind w:left="1790" w:right="86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3. Если по дисциплине не предусмотрен экзамен, но есть блокирующие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ЭК, необходимо организовать первую пересдачу как совокупность пересдач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отдельных блокирующих ЭК до сессии. </w:t>
      </w:r>
    </w:p>
    <w:p>
      <w:pPr>
        <w:autoSpaceDN w:val="0"/>
        <w:autoSpaceDE w:val="0"/>
        <w:widowControl/>
        <w:spacing w:line="262" w:lineRule="auto" w:before="220" w:after="20"/>
        <w:ind w:left="1262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вывести итоговую оценку. Итоговая оценка может быть равна последней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промежуточной аттестации или выведена по формуле промежуточных аттестаций 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1012"/>
        </w:trPr>
        <w:tc>
          <w:tcPr>
            <w:tcW w:type="dxa" w:w="99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8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заявленными коэффициентами.</w:t>
            </w:r>
          </w:p>
        </w:tc>
      </w:tr>
      <w:tr>
        <w:trPr>
          <w:trHeight w:hRule="exact" w:val="1018"/>
        </w:trPr>
        <w:tc>
          <w:tcPr>
            <w:tcW w:type="dxa" w:w="145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6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ТЕХНОЛОГИИ</w:t>
            </w:r>
          </w:p>
        </w:tc>
        <w:tc>
          <w:tcPr>
            <w:tcW w:type="dxa" w:w="8526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0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1894839</wp:posOffset>
                  </wp:positionH>
                  <wp:positionV relativeFrom="page">
                    <wp:posOffset>8477250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8.0" w:type="dxa"/>
      </w:tblPr>
      <w:tblGrid>
        <w:gridCol w:w="5485"/>
        <w:gridCol w:w="5485"/>
      </w:tblGrid>
      <w:tr>
        <w:trPr>
          <w:trHeight w:hRule="exact" w:val="3046"/>
        </w:trPr>
        <w:tc>
          <w:tcPr>
            <w:tcW w:type="dxa" w:w="496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308" w:after="0"/>
              <w:ind w:left="144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>
              <w:top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308" w:after="0"/>
              <w:ind w:left="12" w:right="5472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Формат занятий</w:t>
            </w:r>
            <w:r>
              <w:br/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Платформы для проведения занятий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4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609600</wp:posOffset>
            </wp:positionV>
            <wp:extent cx="190500" cy="19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6648450</wp:posOffset>
            </wp:positionV>
            <wp:extent cx="190500" cy="190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2143760</wp:posOffset>
            </wp:positionH>
            <wp:positionV relativeFrom="page">
              <wp:posOffset>8515350</wp:posOffset>
            </wp:positionV>
            <wp:extent cx="190500" cy="190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1610360</wp:posOffset>
            </wp:positionV>
            <wp:extent cx="3790950" cy="100012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001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7AC5"/>
          <w:sz w:val="22"/>
        </w:rPr>
        <w:t>УТВЕРЖДЕНИЕ РЕАЛИЗАЦИИ</w:t>
      </w:r>
    </w:p>
    <w:p>
      <w:pPr>
        <w:autoSpaceDN w:val="0"/>
        <w:autoSpaceDE w:val="0"/>
        <w:widowControl/>
        <w:spacing w:line="254" w:lineRule="auto" w:before="418" w:after="0"/>
        <w:ind w:left="204" w:right="158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После заполнения реализации на 100% нажать на кнопку "Отправить на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утверждение". </w:t>
      </w:r>
    </w:p>
    <w:p>
      <w:pPr>
        <w:autoSpaceDN w:val="0"/>
        <w:autoSpaceDE w:val="0"/>
        <w:widowControl/>
        <w:spacing w:line="240" w:lineRule="auto" w:before="3138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B94D1"/>
          <w:sz w:val="31"/>
        </w:rPr>
        <w:t>Программа</w:t>
      </w:r>
    </w:p>
    <w:p>
      <w:pPr>
        <w:autoSpaceDN w:val="0"/>
        <w:autoSpaceDE w:val="0"/>
        <w:widowControl/>
        <w:spacing w:line="257" w:lineRule="auto" w:before="234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Программа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программа учебной дисциплины, которая включает в себя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аннотацию, цели освоения, содержание, планируемые результаты, литературу и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материалы. </w:t>
      </w:r>
    </w:p>
    <w:p>
      <w:pPr>
        <w:autoSpaceDN w:val="0"/>
        <w:autoSpaceDE w:val="0"/>
        <w:widowControl/>
        <w:spacing w:line="264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создаются авторами программы и связываются с базисом путем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добавления в программу в блок «Содержание» необходимых разделов базиса.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выбранным разделам из базиса автоматически передаются данные разделов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«Планируемые результаты», «Литература» и «Материалы».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Блоки «Аннотация» и «Цели освоения» заполняются пользователями вручную.</w:t>
      </w:r>
    </w:p>
    <w:p>
      <w:pPr>
        <w:autoSpaceDN w:val="0"/>
        <w:autoSpaceDE w:val="0"/>
        <w:widowControl/>
        <w:spacing w:line="240" w:lineRule="auto" w:before="858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7AC5"/>
          <w:sz w:val="22"/>
        </w:rPr>
        <w:t>АННОТАЦИЯ</w:t>
      </w:r>
    </w:p>
    <w:p>
      <w:pPr>
        <w:autoSpaceDN w:val="0"/>
        <w:autoSpaceDE w:val="0"/>
        <w:widowControl/>
        <w:spacing w:line="269" w:lineRule="auto" w:before="404" w:after="0"/>
        <w:ind w:left="204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Аннотация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– это краткое описание программы учебной дисциплины. В него может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входить наименование дисциплины в соответствии с учебным планом, цели и задачи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учебной дисциплины, а также объем и количество часов на изучение дисциплины.</w:t>
      </w:r>
    </w:p>
    <w:p>
      <w:pPr>
        <w:autoSpaceDN w:val="0"/>
        <w:autoSpaceDE w:val="0"/>
        <w:widowControl/>
        <w:spacing w:line="240" w:lineRule="auto" w:before="1224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7AC5"/>
          <w:sz w:val="22"/>
        </w:rPr>
        <w:t>ЦЕЛИ ОСВОЕНИЯ</w:t>
      </w:r>
    </w:p>
    <w:p>
      <w:pPr>
        <w:autoSpaceDN w:val="0"/>
        <w:autoSpaceDE w:val="0"/>
        <w:widowControl/>
        <w:spacing w:line="254" w:lineRule="auto" w:before="404" w:after="0"/>
        <w:ind w:left="2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Цели освоения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– это предполагаемые результаты обучения студентов в ходе изучения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конкретной дисциплины.</w:t>
      </w:r>
    </w:p>
    <w:p>
      <w:pPr>
        <w:autoSpaceDN w:val="0"/>
        <w:autoSpaceDE w:val="0"/>
        <w:widowControl/>
        <w:spacing w:line="240" w:lineRule="auto" w:before="234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23"/>
        </w:rPr>
        <w:hyperlink r:id="rId17" w:history="1">
          <w:r>
            <w:rPr>
              <w:rStyle w:val="Hyperlink"/>
            </w:rPr>
            <w:t>Рекомендации по формулированию целей дисциплины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</w:p>
    <w:p>
      <w:pPr>
        <w:sectPr>
          <w:pgSz w:w="11918" w:h="16858"/>
          <w:pgMar w:top="482" w:right="1018" w:bottom="78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</w:p>
    <w:p>
      <w:pPr>
        <w:autoSpaceDN w:val="0"/>
        <w:autoSpaceDE w:val="0"/>
        <w:widowControl/>
        <w:spacing w:line="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368"/>
        </w:trPr>
        <w:tc>
          <w:tcPr>
            <w:tcW w:type="dxa" w:w="147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СОДЕРЖАНИЕ</w:t>
            </w:r>
          </w:p>
        </w:tc>
        <w:tc>
          <w:tcPr>
            <w:tcW w:type="dxa" w:w="4420"/>
            <w:tcBorders>
              <w:bottom w:sz="6.399999999999977" w:val="single" w:color="#0079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1915160</wp:posOffset>
                  </wp:positionH>
                  <wp:positionV relativeFrom="page">
                    <wp:posOffset>637540</wp:posOffset>
                  </wp:positionV>
                  <wp:extent cx="190500" cy="190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26"/>
        </w:trPr>
        <w:tc>
          <w:tcPr>
            <w:tcW w:type="dxa" w:w="10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Содержание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– блок программы, в который добавляются разделы, созданные в базисе.</w:t>
            </w:r>
          </w:p>
        </w:tc>
      </w:tr>
    </w:tbl>
    <w:p>
      <w:pPr>
        <w:autoSpaceDN w:val="0"/>
        <w:autoSpaceDE w:val="0"/>
        <w:widowControl/>
        <w:spacing w:line="271" w:lineRule="auto" w:before="174" w:after="0"/>
        <w:ind w:left="976" w:right="864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Данный блок является «связующим звеном» между базисом и программой, т.к. здесь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путем добавления разделов базиса устанавливается связь двух сущностей ПУД. С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разделами в программу также интегрируются соответствующие планируемые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результаты, литература и материалы, которые находятся в блоках программы</w:t>
      </w: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«Планируемые результаты», «Литература» и «Материалы».</w:t>
      </w:r>
    </w:p>
    <w:p>
      <w:pPr>
        <w:autoSpaceDN w:val="0"/>
        <w:autoSpaceDE w:val="0"/>
        <w:widowControl/>
        <w:spacing w:line="262" w:lineRule="auto" w:before="236" w:after="152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Добавление в программу нужного раздела происходит с помощью кнопки "Добавить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запись".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1216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4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3228340</wp:posOffset>
                  </wp:positionV>
                  <wp:extent cx="2552700" cy="69596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6959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232" w:after="154"/>
        <w:ind w:left="976" w:right="57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Поиск раздела можно осуществлять по названию раздела,  ключевым словам, автору 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по наименованию (ID)  базиса, в котором этот раздел размещен.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1604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4658360</wp:posOffset>
                  </wp:positionV>
                  <wp:extent cx="5924550" cy="942339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9423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232" w:after="28"/>
        <w:ind w:left="976" w:right="1296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Редактирование существующего и создание нового раздела осуществляется в</w:t>
      </w:r>
      <w:r>
        <w:rPr>
          <w:rFonts w:ascii="Segoe UI" w:hAnsi="Segoe UI" w:eastAsia="Segoe UI"/>
          <w:b w:val="0"/>
          <w:i w:val="0"/>
          <w:color w:val="000000"/>
          <w:sz w:val="23"/>
        </w:rPr>
        <w:t>связанном базисе, удаление/ добавление раздела в программу осуществляется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1678"/>
        </w:trPr>
        <w:tc>
          <w:tcPr>
            <w:tcW w:type="dxa" w:w="5850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программе.</w:t>
            </w:r>
          </w:p>
          <w:p>
            <w:pPr>
              <w:autoSpaceDN w:val="0"/>
              <w:autoSpaceDE w:val="0"/>
              <w:widowControl/>
              <w:spacing w:line="240" w:lineRule="auto" w:before="1044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ПЛАНИРУЕМЫЕ РЕЗУЛЬТАТЫ, ЛИТЕРАТУРА, МАТЕРИАЛЫ</w:t>
            </w:r>
          </w:p>
        </w:tc>
        <w:tc>
          <w:tcPr>
            <w:tcW w:type="dxa" w:w="4126"/>
            <w:tcBorders>
              <w:bottom w:sz="6.399999999999636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7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4696460</wp:posOffset>
                  </wp:positionH>
                  <wp:positionV relativeFrom="page">
                    <wp:posOffset>7086600</wp:posOffset>
                  </wp:positionV>
                  <wp:extent cx="190500" cy="1905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Блоки программы, интегрированные из связанных разделов базиса - Планируемые</w:t>
            </w:r>
          </w:p>
        </w:tc>
      </w:tr>
    </w:tbl>
    <w:p>
      <w:pPr>
        <w:autoSpaceDN w:val="0"/>
        <w:autoSpaceDE w:val="0"/>
        <w:widowControl/>
        <w:spacing w:line="262" w:lineRule="auto" w:before="28" w:after="0"/>
        <w:ind w:left="976" w:right="1584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результаты, Литература, Материалы - добавляются в программу, через кнопку</w:t>
      </w:r>
      <w:r>
        <w:rPr>
          <w:rFonts w:ascii="Segoe UI" w:hAnsi="Segoe UI" w:eastAsia="Segoe UI"/>
          <w:b w:val="0"/>
          <w:i w:val="0"/>
          <w:color w:val="000000"/>
          <w:sz w:val="23"/>
        </w:rPr>
        <w:t>"Добавить запись".</w:t>
      </w:r>
    </w:p>
    <w:p>
      <w:pPr>
        <w:autoSpaceDN w:val="0"/>
        <w:autoSpaceDE w:val="0"/>
        <w:widowControl/>
        <w:spacing w:line="254" w:lineRule="auto" w:before="236" w:after="28"/>
        <w:ind w:left="976" w:right="187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Редактирование существующего и добавление нового элемента данных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блоков осуществляется в разделе связанного базиса, удаление/добавление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392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имеющегося элемента в программу осуществляется в программе.</w:t>
            </w:r>
          </w:p>
        </w:tc>
      </w:tr>
    </w:tbl>
    <w:p>
      <w:pPr>
        <w:autoSpaceDN w:val="0"/>
        <w:autoSpaceDE w:val="0"/>
        <w:widowControl/>
        <w:spacing w:line="240" w:lineRule="auto" w:before="1876" w:after="0"/>
        <w:ind w:left="9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10200640</wp:posOffset>
            </wp:positionV>
            <wp:extent cx="2724150" cy="164845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48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156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1610360</wp:posOffset>
            </wp:positionH>
            <wp:positionV relativeFrom="page">
              <wp:posOffset>6781800</wp:posOffset>
            </wp:positionV>
            <wp:extent cx="190500" cy="190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353060</wp:posOffset>
            </wp:positionV>
            <wp:extent cx="2724150" cy="164782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478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7668259</wp:posOffset>
            </wp:positionV>
            <wp:extent cx="1485900" cy="58102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810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B94D1"/>
          <w:sz w:val="31"/>
        </w:rPr>
        <w:t>Базис</w:t>
      </w:r>
    </w:p>
    <w:p>
      <w:pPr>
        <w:autoSpaceDN w:val="0"/>
        <w:autoSpaceDE w:val="0"/>
        <w:widowControl/>
        <w:spacing w:line="269" w:lineRule="auto" w:before="232" w:after="0"/>
        <w:ind w:left="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Базис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– это содержательная составляющая будущей программы учебной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дисциплины, которая представляет собой каталог разделов, сгруппированных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определенной области знаний с соответствующими планируемыми результатами,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литературой и материалами.</w:t>
      </w:r>
    </w:p>
    <w:p>
      <w:pPr>
        <w:autoSpaceDN w:val="0"/>
        <w:autoSpaceDE w:val="0"/>
        <w:widowControl/>
        <w:spacing w:line="266" w:lineRule="auto" w:before="262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Базис одновременно является содержательным пространством для создания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новых и общедоступным архивом для хранения уже созданных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элементов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будущего содержания ПУД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Базис позволяет создавать и хранить укрупненные группы элементов с различной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степенью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детализации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(блоки, разделы, темы, лекции и т.д.). Каждая единица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будущего содержания должна подкрепляться планируемыми результатами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обучения, соответствующей литературой и материалами.</w:t>
      </w:r>
    </w:p>
    <w:p>
      <w:pPr>
        <w:autoSpaceDN w:val="0"/>
        <w:autoSpaceDE w:val="0"/>
        <w:widowControl/>
        <w:spacing w:line="240" w:lineRule="auto" w:before="858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7AC5"/>
          <w:sz w:val="22"/>
        </w:rPr>
        <w:t>РАЗДЕЛЫ</w:t>
      </w:r>
    </w:p>
    <w:p>
      <w:pPr>
        <w:autoSpaceDN w:val="0"/>
        <w:autoSpaceDE w:val="0"/>
        <w:widowControl/>
        <w:spacing w:line="254" w:lineRule="auto" w:before="418" w:after="0"/>
        <w:ind w:left="204" w:right="2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Раздел базиса может быть представлен в виде блока, раздела, темы, вида работ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(лекции, семинары и т.п.) и иного </w:t>
      </w:r>
      <w:r>
        <w:rPr>
          <w:rFonts w:ascii="Segoe UI Semibold" w:hAnsi="Segoe UI Semibold" w:eastAsia="Segoe UI Semibold"/>
          <w:b/>
          <w:i w:val="0"/>
          <w:color w:val="000000"/>
          <w:sz w:val="23"/>
        </w:rPr>
        <w:t>структурного элемента будущего содержания ПУД</w:t>
      </w:r>
      <w:r>
        <w:rPr>
          <w:rFonts w:ascii="Segoe UI" w:hAnsi="Segoe UI" w:eastAsia="Segoe UI"/>
          <w:b w:val="0"/>
          <w:i w:val="0"/>
          <w:color w:val="000000"/>
          <w:sz w:val="23"/>
        </w:rPr>
        <w:t>.</w:t>
      </w:r>
    </w:p>
    <w:p>
      <w:pPr>
        <w:autoSpaceDN w:val="0"/>
        <w:autoSpaceDE w:val="0"/>
        <w:widowControl/>
        <w:spacing w:line="240" w:lineRule="auto" w:before="4022" w:after="0"/>
        <w:ind w:left="2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10200640</wp:posOffset>
            </wp:positionV>
            <wp:extent cx="4400550" cy="6781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78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1440" w:right="846" w:bottom="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11556"/>
        </w:trPr>
        <w:tc>
          <w:tcPr>
            <w:tcW w:type="dxa" w:w="997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353060</wp:posOffset>
                  </wp:positionV>
                  <wp:extent cx="4400550" cy="67818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6781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762"/>
        </w:trPr>
        <w:tc>
          <w:tcPr>
            <w:tcW w:type="dxa" w:w="297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ПЛАНИРУЕМЫЕ РЕЗУЛЬТАТЫ</w:t>
            </w:r>
          </w:p>
        </w:tc>
        <w:tc>
          <w:tcPr>
            <w:tcW w:type="dxa" w:w="7006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6" w:after="0"/>
              <w:ind w:left="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2876550</wp:posOffset>
                  </wp:positionH>
                  <wp:positionV relativeFrom="page">
                    <wp:posOffset>7706359</wp:posOffset>
                  </wp:positionV>
                  <wp:extent cx="190500" cy="1905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84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 xml:space="preserve">Планируемые результаты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– это образовательные цели, достигаемые студентом в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976" w:right="0" w:firstLine="0"/>
        <w:jc w:val="left"/>
      </w:pPr>
      <w:r>
        <w:rPr>
          <w:shd w:val="clear" w:color="auto" w:fill="000000"/>
          <w:rFonts w:ascii="Segoe UI" w:hAnsi="Segoe UI" w:eastAsia="Segoe UI"/>
          <w:b w:val="0"/>
          <w:i w:val="0"/>
          <w:color w:val="000000"/>
          <w:sz w:val="23"/>
        </w:rPr>
        <w:t>результате изучения элементов знаний и являющиеся индикаторами</w:t>
      </w:r>
    </w:p>
    <w:p>
      <w:pPr>
        <w:autoSpaceDN w:val="0"/>
        <w:autoSpaceDE w:val="0"/>
        <w:widowControl/>
        <w:spacing w:line="240" w:lineRule="auto" w:before="54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профессиональных компетенций, которые измеряются элементами контроля для</w:t>
      </w:r>
    </w:p>
    <w:p>
      <w:pPr>
        <w:autoSpaceDN w:val="0"/>
        <w:autoSpaceDE w:val="0"/>
        <w:widowControl/>
        <w:spacing w:line="240" w:lineRule="auto" w:before="54" w:after="2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формирования системы оценивания результатов освоения программы учебной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384"/>
        </w:trPr>
        <w:tc>
          <w:tcPr>
            <w:tcW w:type="dxa" w:w="106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дисциплины.</w:t>
            </w:r>
          </w:p>
        </w:tc>
      </w:tr>
    </w:tbl>
    <w:p>
      <w:pPr>
        <w:autoSpaceDN w:val="0"/>
        <w:autoSpaceDE w:val="0"/>
        <w:widowControl/>
        <w:spacing w:line="240" w:lineRule="auto" w:before="1442" w:after="0"/>
        <w:ind w:left="9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10200640</wp:posOffset>
            </wp:positionV>
            <wp:extent cx="5924550" cy="143890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389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2756"/>
        </w:trPr>
        <w:tc>
          <w:tcPr>
            <w:tcW w:type="dxa" w:w="1062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353060</wp:posOffset>
                  </wp:positionV>
                  <wp:extent cx="5924550" cy="1437640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14376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54" w:lineRule="auto" w:before="758" w:after="16"/>
        <w:ind w:left="976" w:right="72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Планируемый результат можно добавить, выбрав из имеющихся в базе Конструктора,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либо создать новый.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2656"/>
        </w:trPr>
        <w:tc>
          <w:tcPr>
            <w:tcW w:type="dxa" w:w="10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9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2743200</wp:posOffset>
                  </wp:positionV>
                  <wp:extent cx="5190490" cy="1543050"/>
                  <wp:wrapNone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490" cy="15430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760"/>
        </w:trPr>
        <w:tc>
          <w:tcPr>
            <w:tcW w:type="dxa" w:w="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4561840</wp:posOffset>
                  </wp:positionV>
                  <wp:extent cx="285750" cy="28702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870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8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Любой планируемый результат имеет своего автора. Важно понимать, что выбрав</w:t>
            </w:r>
          </w:p>
        </w:tc>
      </w:tr>
    </w:tbl>
    <w:p>
      <w:pPr>
        <w:autoSpaceDN w:val="0"/>
        <w:autoSpaceDE w:val="0"/>
        <w:widowControl/>
        <w:spacing w:line="240" w:lineRule="auto" w:before="28" w:after="28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ПРО из базы Конструктора, изменить его будет невозможно. Обратная ситуация с ПРО,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1100"/>
        </w:trPr>
        <w:tc>
          <w:tcPr>
            <w:tcW w:type="dxa" w:w="68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созданным под своим авторством.</w:t>
            </w:r>
          </w:p>
        </w:tc>
      </w:tr>
      <w:tr>
        <w:trPr>
          <w:trHeight w:hRule="exact" w:val="1102"/>
        </w:trPr>
        <w:tc>
          <w:tcPr>
            <w:tcW w:type="dxa" w:w="129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7AC5"/>
                <w:sz w:val="22"/>
              </w:rPr>
              <w:t>ЛИТЕРАТУРА</w:t>
            </w:r>
          </w:p>
        </w:tc>
        <w:tc>
          <w:tcPr>
            <w:tcW w:type="dxa" w:w="5540"/>
            <w:tcBorders>
              <w:bottom w:sz="5.600000000000364" w:val="single" w:color="#0079C4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96" w:after="0"/>
              <w:ind w:left="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1809750</wp:posOffset>
                  </wp:positionH>
                  <wp:positionV relativeFrom="page">
                    <wp:posOffset>6334760</wp:posOffset>
                  </wp:positionV>
                  <wp:extent cx="190500" cy="190499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4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 xml:space="preserve">Литература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–  это бумажные и электронные ресурсы библиотеки НИУ ВШЭ по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различным дисциплинам и областям знаний.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7334250</wp:posOffset>
            </wp:positionV>
            <wp:extent cx="285750" cy="2857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23"/>
        </w:rPr>
        <w:t>Необходимо добавить хотя бы один ресурс как основную литературу и один как</w:t>
      </w:r>
    </w:p>
    <w:p>
      <w:pPr>
        <w:autoSpaceDN w:val="0"/>
        <w:autoSpaceDE w:val="0"/>
        <w:widowControl/>
        <w:spacing w:line="240" w:lineRule="auto" w:before="54" w:after="152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дополнительную.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2370"/>
        </w:trPr>
        <w:tc>
          <w:tcPr>
            <w:tcW w:type="dxa" w:w="6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8020050</wp:posOffset>
                  </wp:positionV>
                  <wp:extent cx="1799589" cy="142875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89" cy="1428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124" w:after="0"/>
        <w:ind w:left="9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10200640</wp:posOffset>
            </wp:positionV>
            <wp:extent cx="2162810" cy="155320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5532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2936"/>
        </w:trPr>
        <w:tc>
          <w:tcPr>
            <w:tcW w:type="dxa" w:w="1062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2" w:after="0"/>
              <w:ind w:left="64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353060</wp:posOffset>
                  </wp:positionV>
                  <wp:extent cx="2162810" cy="155194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810" cy="15519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18" w:after="28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Если нужных ресурсов нет в разделе с литературой, их можно добавить 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9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раздел 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23"/>
              </w:rPr>
              <w:t>"Материалы"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 - гиперссылкой или загрузить документ в формате pdf</w:t>
            </w:r>
          </w:p>
        </w:tc>
      </w:tr>
    </w:tbl>
    <w:p>
      <w:pPr>
        <w:autoSpaceDN w:val="0"/>
        <w:autoSpaceDE w:val="0"/>
        <w:widowControl/>
        <w:spacing w:line="10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408"/>
        </w:trPr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МАТЕРИАЛЫ</w:t>
            </w:r>
          </w:p>
        </w:tc>
      </w:tr>
    </w:tbl>
    <w:p>
      <w:pPr>
        <w:autoSpaceDN w:val="0"/>
        <w:autoSpaceDE w:val="0"/>
        <w:widowControl/>
        <w:spacing w:line="348" w:lineRule="auto" w:before="148" w:after="0"/>
        <w:ind w:left="976" w:right="57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23"/>
        </w:rPr>
        <w:t>Материалы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 – это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любая дополнительная информация, которой преподаватель хочет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поделиться со студентами в рамках программы учебной дисциплины. Здесь могут быть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опубликованы: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- веб-ссылки на бумажные и электронные ресурсы, отсутствующие в базе библиотеки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НИУ ВШЭ;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- файлы pdf научных статей, конспектов лекций и т.д.;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- презентации;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>- видеоматериалы.</w:t>
      </w:r>
    </w:p>
    <w:p>
      <w:pPr>
        <w:autoSpaceDN w:val="0"/>
        <w:autoSpaceDE w:val="0"/>
        <w:widowControl/>
        <w:spacing w:line="254" w:lineRule="auto" w:before="234" w:after="0"/>
        <w:ind w:left="976" w:right="115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Данный блок является необязательным к заполнению и имеет рекомендательный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характер. </w:t>
      </w:r>
    </w:p>
    <w:p>
      <w:pPr>
        <w:autoSpaceDN w:val="0"/>
        <w:autoSpaceDE w:val="0"/>
        <w:widowControl/>
        <w:spacing w:line="310" w:lineRule="auto" w:before="850" w:after="0"/>
        <w:ind w:left="976" w:right="72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ДОСТУПНОСТЬ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23"/>
        </w:rPr>
        <w:t xml:space="preserve">Доступность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 блок раздела базиса, предусмотренный для настройки его доступности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другим пользователям.</w:t>
      </w:r>
    </w:p>
    <w:p>
      <w:pPr>
        <w:autoSpaceDN w:val="0"/>
        <w:autoSpaceDE w:val="0"/>
        <w:widowControl/>
        <w:spacing w:line="262" w:lineRule="auto" w:before="236" w:after="176"/>
        <w:ind w:left="976" w:right="100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В системе у автора раздела базиса есть возможность указать, каким пользователям</w:t>
      </w:r>
      <w:r>
        <w:rPr>
          <w:rFonts w:ascii="Segoe UI" w:hAnsi="Segoe UI" w:eastAsia="Segoe UI"/>
          <w:b w:val="0"/>
          <w:i w:val="0"/>
          <w:color w:val="000000"/>
          <w:sz w:val="23"/>
        </w:rPr>
        <w:t>будет доступно добавление его раздела в программу учебной дисциплины.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32"/>
        </w:trPr>
        <w:tc>
          <w:tcPr>
            <w:tcW w:type="dxa" w:w="10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Доступность можно настроить тремя способами:</w:t>
            </w:r>
          </w:p>
        </w:tc>
      </w:tr>
      <w:tr>
        <w:trPr>
          <w:trHeight w:hRule="exact" w:val="50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предоставить доступ определенным департаментам;</w:t>
            </w:r>
          </w:p>
        </w:tc>
      </w:tr>
      <w:tr>
        <w:trPr>
          <w:trHeight w:hRule="exact" w:val="520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предоставить доступ определенным сотрудникам;</w:t>
            </w:r>
          </w:p>
        </w:tc>
      </w:tr>
      <w:tr>
        <w:trPr>
          <w:trHeight w:hRule="exact" w:val="488"/>
        </w:trPr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сделать раздел общедоступным или закрыть доступ к элементу базиса для всех.</w:t>
            </w:r>
          </w:p>
        </w:tc>
      </w:tr>
    </w:tbl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3657"/>
        <w:gridCol w:w="3657"/>
        <w:gridCol w:w="3657"/>
      </w:tblGrid>
      <w:tr>
        <w:trPr>
          <w:trHeight w:hRule="exact" w:val="618"/>
        </w:trPr>
        <w:tc>
          <w:tcPr>
            <w:tcW w:type="dxa" w:w="95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Варианты предоставления доступа к разделу базиса можно комбинировать.</w:t>
            </w:r>
          </w:p>
        </w:tc>
      </w:tr>
      <w:tr>
        <w:trPr>
          <w:trHeight w:hRule="exact" w:val="612"/>
        </w:trPr>
        <w:tc>
          <w:tcPr>
            <w:tcW w:type="dxa" w:w="3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99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й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8" w:after="0"/>
              <w:ind w:left="0" w:right="1648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б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6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10970"/>
      </w:tblGrid>
      <w:tr>
        <w:trPr>
          <w:trHeight w:hRule="exact" w:val="778"/>
        </w:trPr>
        <w:tc>
          <w:tcPr>
            <w:tcW w:type="dxa" w:w="1062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4" w:after="0"/>
              <w:ind w:left="64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Задать перечень департаментов и пользователей, которым должно быть доступно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54"/>
        </w:trPr>
        <w:tc>
          <w:tcPr>
            <w:tcW w:type="dxa" w:w="101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добавление раздела в программу, можно на вкладках «Департамент» и «ФИО» в блоке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10970"/>
      </w:tblGrid>
      <w:tr>
        <w:trPr>
          <w:trHeight w:hRule="exact" w:val="392"/>
        </w:trPr>
        <w:tc>
          <w:tcPr>
            <w:tcW w:type="dxa" w:w="6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«Доступность».</w:t>
            </w:r>
          </w:p>
        </w:tc>
      </w:tr>
    </w:tbl>
    <w:p>
      <w:pPr>
        <w:autoSpaceDN w:val="0"/>
        <w:autoSpaceDE w:val="0"/>
        <w:widowControl/>
        <w:spacing w:line="240" w:lineRule="auto" w:before="20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2324100</wp:posOffset>
            </wp:positionV>
            <wp:extent cx="508000" cy="2286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2705100</wp:posOffset>
            </wp:positionV>
            <wp:extent cx="1346200" cy="304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3200400</wp:posOffset>
            </wp:positionV>
            <wp:extent cx="228600" cy="2286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59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48" w:lineRule="auto" w:before="200" w:after="0"/>
        <w:ind w:left="300" w:right="849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Прием в магистратуру</w:t>
          </w:r>
        </w:hyperlink>
      </w:r>
    </w:p>
    <w:p>
      <w:pPr>
        <w:sectPr>
          <w:pgSz w:w="11918" w:h="16858"/>
          <w:pgMar w:top="62" w:right="39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4085590</wp:posOffset>
            </wp:positionV>
            <wp:extent cx="6877050" cy="45698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22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confluence.hse.ru/pages/viewpage.action?pageId=15014665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hyperlink" Target="https://www.hse.ru/org/hse/info/" TargetMode="External"/><Relationship Id="rId34" Type="http://schemas.openxmlformats.org/officeDocument/2006/relationships/hyperlink" Target="https://figures.hse.ru/" TargetMode="External"/><Relationship Id="rId35" Type="http://schemas.openxmlformats.org/officeDocument/2006/relationships/hyperlink" Target="https://www.hse.ru/orgstructure/" TargetMode="External"/><Relationship Id="rId36" Type="http://schemas.openxmlformats.org/officeDocument/2006/relationships/hyperlink" Target="https://sustainability.hse.ru/" TargetMode="External"/><Relationship Id="rId37" Type="http://schemas.openxmlformats.org/officeDocument/2006/relationships/hyperlink" Target="https://www.hse.ru/org/persons/" TargetMode="External"/><Relationship Id="rId38" Type="http://schemas.openxmlformats.org/officeDocument/2006/relationships/hyperlink" Target="https://www.hse.ru/buildinghse" TargetMode="External"/><Relationship Id="rId39" Type="http://schemas.openxmlformats.org/officeDocument/2006/relationships/hyperlink" Target="https://www.hse.ru/org/hse/aup/procurement/" TargetMode="External"/><Relationship Id="rId40" Type="http://schemas.openxmlformats.org/officeDocument/2006/relationships/hyperlink" Target="https://www.hse.ru/appeal/" TargetMode="External"/><Relationship Id="rId41" Type="http://schemas.openxmlformats.org/officeDocument/2006/relationships/hyperlink" Target="https://endowment.hse.ru/" TargetMode="External"/><Relationship Id="rId42" Type="http://schemas.openxmlformats.org/officeDocument/2006/relationships/hyperlink" Target="https://www.hse.ru/anticorruption" TargetMode="External"/><Relationship Id="rId43" Type="http://schemas.openxmlformats.org/officeDocument/2006/relationships/hyperlink" Target="https://www.hse.ru/anticorruption/information" TargetMode="External"/><Relationship Id="rId44" Type="http://schemas.openxmlformats.org/officeDocument/2006/relationships/hyperlink" Target="https://www.hse.ru/sveden/" TargetMode="External"/><Relationship Id="rId45" Type="http://schemas.openxmlformats.org/officeDocument/2006/relationships/hyperlink" Target="https://inclusive.hse.ru/" TargetMode="External"/><Relationship Id="rId46" Type="http://schemas.openxmlformats.org/officeDocument/2006/relationships/hyperlink" Target="https://pay.hse.ru/" TargetMode="External"/><Relationship Id="rId47" Type="http://schemas.openxmlformats.org/officeDocument/2006/relationships/hyperlink" Target="https://www.hse.ru/career" TargetMode="External"/><Relationship Id="rId48" Type="http://schemas.openxmlformats.org/officeDocument/2006/relationships/hyperlink" Target="https://www.hse.ru/education/" TargetMode="External"/><Relationship Id="rId49" Type="http://schemas.openxmlformats.org/officeDocument/2006/relationships/hyperlink" Target="https://school.hse.ru/" TargetMode="External"/><Relationship Id="rId50" Type="http://schemas.openxmlformats.org/officeDocument/2006/relationships/hyperlink" Target="https://fdp.hse.ru/" TargetMode="External"/><Relationship Id="rId51" Type="http://schemas.openxmlformats.org/officeDocument/2006/relationships/hyperlink" Target="https://olymp.hse.ru/" TargetMode="External"/><Relationship Id="rId52" Type="http://schemas.openxmlformats.org/officeDocument/2006/relationships/hyperlink" Target="https://ba.hse.ru/" TargetMode="External"/><Relationship Id="rId53" Type="http://schemas.openxmlformats.org/officeDocument/2006/relationships/hyperlink" Target="https://www.hse.ru/plus" TargetMode="External"/><Relationship Id="rId54" Type="http://schemas.openxmlformats.org/officeDocument/2006/relationships/hyperlink" Target="https://ma.hse.ru/" TargetMode="External"/><Relationship Id="rId55" Type="http://schemas.openxmlformats.org/officeDocument/2006/relationships/hyperlink" Target="https://aspirantura.hse.ru/" TargetMode="External"/><Relationship Id="rId56" Type="http://schemas.openxmlformats.org/officeDocument/2006/relationships/hyperlink" Target="https://busedu.hse.ru/" TargetMode="External"/><Relationship Id="rId57" Type="http://schemas.openxmlformats.org/officeDocument/2006/relationships/hyperlink" Target="https://career.hse.ru/" TargetMode="External"/><Relationship Id="rId58" Type="http://schemas.openxmlformats.org/officeDocument/2006/relationships/hyperlink" Target="http://inc.hse.ru/" TargetMode="External"/><Relationship Id="rId59" Type="http://schemas.openxmlformats.org/officeDocument/2006/relationships/hyperlink" Target="https://dd.hse.ru/" TargetMode="External"/><Relationship Id="rId60" Type="http://schemas.openxmlformats.org/officeDocument/2006/relationships/hyperlink" Target="https://www.hse.ru/feedback" TargetMode="External"/><Relationship Id="rId61" Type="http://schemas.openxmlformats.org/officeDocument/2006/relationships/hyperlink" Target="https://www.hse.ru/science/" TargetMode="External"/><Relationship Id="rId62" Type="http://schemas.openxmlformats.org/officeDocument/2006/relationships/hyperlink" Target="https://www.hse.ru/science/centers" TargetMode="External"/><Relationship Id="rId63" Type="http://schemas.openxmlformats.org/officeDocument/2006/relationships/hyperlink" Target="https://www.hse.ru/org/projects/" TargetMode="External"/><Relationship Id="rId64" Type="http://schemas.openxmlformats.org/officeDocument/2006/relationships/hyperlink" Target="https://www.hse.ru/monitoring/" TargetMode="External"/><Relationship Id="rId65" Type="http://schemas.openxmlformats.org/officeDocument/2006/relationships/hyperlink" Target="https://www.hse.ru/science/disscoun/" TargetMode="External"/><Relationship Id="rId66" Type="http://schemas.openxmlformats.org/officeDocument/2006/relationships/hyperlink" Target="https://aspirantura.hse.ru/defence/announcements/" TargetMode="External"/><Relationship Id="rId67" Type="http://schemas.openxmlformats.org/officeDocument/2006/relationships/hyperlink" Target="https://academics.hse.ru/" TargetMode="External"/><Relationship Id="rId68" Type="http://schemas.openxmlformats.org/officeDocument/2006/relationships/hyperlink" Target="https://www.hse.ru/science/hsegrants" TargetMode="External"/><Relationship Id="rId69" Type="http://schemas.openxmlformats.org/officeDocument/2006/relationships/hyperlink" Target="https://sezam.hse.ru/" TargetMode="External"/><Relationship Id="rId70" Type="http://schemas.openxmlformats.org/officeDocument/2006/relationships/hyperlink" Target="https://publications.hse.ru/" TargetMode="External"/><Relationship Id="rId71" Type="http://schemas.openxmlformats.org/officeDocument/2006/relationships/hyperlink" Target="https://library.hse.ru/" TargetMode="External"/><Relationship Id="rId72" Type="http://schemas.openxmlformats.org/officeDocument/2006/relationships/hyperlink" Target="https://id.hse.ru/" TargetMode="External"/><Relationship Id="rId73" Type="http://schemas.openxmlformats.org/officeDocument/2006/relationships/hyperlink" Target="https://bookshop.hse.ru/" TargetMode="External"/><Relationship Id="rId74" Type="http://schemas.openxmlformats.org/officeDocument/2006/relationships/hyperlink" Target="https://print.hse.ru/" TargetMode="External"/><Relationship Id="rId75" Type="http://schemas.openxmlformats.org/officeDocument/2006/relationships/hyperlink" Target="https://mc.hse.ru/" TargetMode="External"/><Relationship Id="rId76" Type="http://schemas.openxmlformats.org/officeDocument/2006/relationships/hyperlink" Target="https://www.hse.ru/science/journals" TargetMode="External"/><Relationship Id="rId77" Type="http://schemas.openxmlformats.org/officeDocument/2006/relationships/hyperlink" Target="http://www.minobrnauki.gov.ru/" TargetMode="External"/><Relationship Id="rId78" Type="http://schemas.openxmlformats.org/officeDocument/2006/relationships/hyperlink" Target="https://edu.gov.ru/" TargetMode="External"/><Relationship Id="rId79" Type="http://schemas.openxmlformats.org/officeDocument/2006/relationships/hyperlink" Target="http://www.edu.ru/" TargetMode="External"/><Relationship Id="rId80" Type="http://schemas.openxmlformats.org/officeDocument/2006/relationships/hyperlink" Target="https://elearning.hse.ru/mooc" TargetMode="External"/><Relationship Id="rId81" Type="http://schemas.openxmlformats.org/officeDocument/2006/relationships/hyperlink" Target="https://www.hse.ru/adm/edit/edit.html?goto=%2AL3N0dWR5c3ByYXZrYS9wdWRfZ3VpZGU%2FX3I9MzYyMzc4MzE3NzUwODI3MDAuNDM4Mg%3D%3D%5E&amp;id=870129242&amp;cid=20594&amp;addon_name=default&amp;newportal=1" TargetMode="External"/><Relationship Id="rId82" Type="http://schemas.openxmlformats.org/officeDocument/2006/relationships/hyperlink" Target="https://www.hse.ru/contacts.html" TargetMode="External"/><Relationship Id="rId83" Type="http://schemas.openxmlformats.org/officeDocument/2006/relationships/hyperlink" Target="https://www.hse.ru/copyright" TargetMode="External"/><Relationship Id="rId84" Type="http://schemas.openxmlformats.org/officeDocument/2006/relationships/hyperlink" Target="https://www.hse.ru/data_protection_regulation" TargetMode="External"/><Relationship Id="rId85" Type="http://schemas.openxmlformats.org/officeDocument/2006/relationships/hyperlink" Target="https://www.hse.ru/sitemap.html" TargetMode="External"/><Relationship Id="rId86" Type="http://schemas.openxmlformats.org/officeDocument/2006/relationships/hyperlink" Target="https://design.hse.ru/" TargetMode="External"/><Relationship Id="rId8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