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8" w:val="left"/>
          <w:tab w:pos="9966" w:val="left"/>
        </w:tabs>
        <w:autoSpaceDE w:val="0"/>
        <w:widowControl/>
        <w:spacing w:line="281" w:lineRule="auto" w:before="198" w:after="0"/>
        <w:ind w:left="576" w:right="288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304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Скидки на оплату обучения для студентов НИУ ВШЭ-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Нижний Новгород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02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  <w:tc>
          <w:tcPr>
            <w:tcW w:type="dxa" w:w="352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ВШЭ-Нижний Новгород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3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НИУ ВШЭ-Пермь</w:t>
          </w:r>
        </w:hyperlink>
      </w:r>
    </w:p>
    <w:p>
      <w:pPr>
        <w:autoSpaceDN w:val="0"/>
        <w:autoSpaceDE w:val="0"/>
        <w:widowControl/>
        <w:spacing w:line="238" w:lineRule="auto" w:before="698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Виды скидок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8" w:right="172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Скидки при поступлении для обучения по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программам бакалавриата и магистратуры</w:t>
            </w:r>
          </w:p>
        </w:tc>
      </w:tr>
    </w:tbl>
    <w:p>
      <w:pPr>
        <w:autoSpaceDN w:val="0"/>
        <w:autoSpaceDE w:val="0"/>
        <w:widowControl/>
        <w:spacing w:line="266" w:lineRule="auto" w:before="148" w:after="24"/>
        <w:ind w:left="8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Скидки при поступлении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обучения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программам бакалавриата 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магистратуры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не распространяются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 на обучающихся, являющихся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иностранными гражданами или лицами без гражданства, поступающими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рамках отдельного конкурса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 устанавливаются по следующим основаниям:</w:t>
            </w:r>
          </w:p>
        </w:tc>
      </w:tr>
      <w:tr>
        <w:trPr>
          <w:trHeight w:hRule="exact" w:val="500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 результатам поступления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для обучения по программам бакалавриата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0"/>
        </w:trPr>
        <w:tc>
          <w:tcPr>
            <w:tcW w:type="dxa" w:w="996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 магистратуры;</w:t>
            </w:r>
          </w:p>
        </w:tc>
      </w:tr>
      <w:tr>
        <w:trPr>
          <w:trHeight w:hRule="exact" w:val="500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скидки студентам - детям работников НИУ ВШЭ и студентам - работникам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(кроме сотрудников, работающих на условиях внешнего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совместительства);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30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230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2" w:after="0"/>
                    <w:ind w:left="524" w:right="432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Скидки при поступлении иностранным гражданам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и лицам без гражданства, поступающим в рамках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8201659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7874000</wp:posOffset>
            </wp:positionV>
            <wp:extent cx="6502400" cy="1435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435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828" w:right="216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отдельного конкурса для обучения по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программам бакалавриата и магистратуры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Скидки при поступлении иностранным гражданам и лицам без</w:t>
            </w:r>
          </w:p>
        </w:tc>
      </w:tr>
    </w:tbl>
    <w:p>
      <w:pPr>
        <w:autoSpaceDN w:val="0"/>
        <w:autoSpaceDE w:val="0"/>
        <w:widowControl/>
        <w:spacing w:line="262" w:lineRule="auto" w:before="26" w:after="24"/>
        <w:ind w:left="828" w:right="1152" w:firstLine="0"/>
        <w:jc w:val="left"/>
      </w:pP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гражданства, поступающим в рамках отдельного конкурса 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обучения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по программам бакалавриата и магистратуры 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устанавливаются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следующим основаниям: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 результатам поступления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для обучения по программам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бакалавриата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;</w:t>
            </w:r>
          </w:p>
        </w:tc>
      </w:tr>
      <w:tr>
        <w:trPr>
          <w:trHeight w:hRule="exact" w:val="504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 результатам поступления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для обучения по программам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4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магистратуры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08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28" w:right="216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Скидки в период обучения по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программам бакалавриата и магистратуры</w:t>
            </w:r>
          </w:p>
        </w:tc>
      </w:tr>
    </w:tbl>
    <w:p>
      <w:pPr>
        <w:autoSpaceDN w:val="0"/>
        <w:autoSpaceDE w:val="0"/>
        <w:widowControl/>
        <w:spacing w:line="262" w:lineRule="auto" w:before="140" w:after="0"/>
        <w:ind w:left="720" w:right="2736" w:firstLine="0"/>
        <w:jc w:val="center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Скидки в период обучения по программам бакалавриата 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магистратуры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устанавливаются по следующим основаниям:</w:t>
      </w:r>
    </w:p>
    <w:p>
      <w:pPr>
        <w:autoSpaceDN w:val="0"/>
        <w:autoSpaceDE w:val="0"/>
        <w:widowControl/>
        <w:spacing w:line="257" w:lineRule="auto" w:before="262" w:after="0"/>
        <w:ind w:left="828" w:right="244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 успехи в учебе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результатам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 программам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бакалавриата и магистратуры;</w:t>
      </w:r>
    </w:p>
    <w:p>
      <w:pPr>
        <w:autoSpaceDN w:val="0"/>
        <w:autoSpaceDE w:val="0"/>
        <w:widowControl/>
        <w:spacing w:line="264" w:lineRule="auto" w:before="246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скидки студентам - детям работников НИУ ВШЭ и студентам - работникам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(кроме сотрудников, работающих на условиях внешнего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118"/>
        </w:trPr>
        <w:tc>
          <w:tcPr>
            <w:tcW w:type="dxa" w:w="745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совместительства);</w:t>
            </w:r>
          </w:p>
        </w:tc>
        <w:tc>
          <w:tcPr>
            <w:tcW w:type="dxa" w:w="260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8"/>
        </w:trPr>
        <w:tc>
          <w:tcPr>
            <w:tcW w:type="dxa" w:w="745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0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Скидки при поступлении в бакалавриат </w:t>
            </w:r>
          </w:p>
        </w:tc>
        <w:tc>
          <w:tcPr>
            <w:tcW w:type="dxa" w:w="260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92" w:after="0"/>
              <w:ind w:left="0" w:right="32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62" w:lineRule="auto" w:before="88" w:after="938"/>
        <w:ind w:left="604" w:right="2160" w:firstLine="0"/>
        <w:jc w:val="left"/>
      </w:pPr>
      <w:r>
        <w:rPr>
          <w:rFonts w:ascii="Segoe UI Semibold" w:hAnsi="Segoe UI Semibold" w:eastAsia="Segoe UI Semibold"/>
          <w:b/>
          <w:i/>
          <w:color w:val="000000"/>
          <w:sz w:val="21"/>
        </w:rPr>
        <w:t>не распространяются</w:t>
      </w:r>
      <w:r>
        <w:rPr>
          <w:rFonts w:ascii="Segoe UI" w:hAnsi="Segoe UI" w:eastAsia="Segoe UI"/>
          <w:b w:val="0"/>
          <w:i/>
          <w:color w:val="000000"/>
          <w:sz w:val="21"/>
        </w:rPr>
        <w:t xml:space="preserve"> на обучающихся, являющихся иностранными гражданами</w:t>
      </w:r>
      <w:r>
        <w:rPr>
          <w:rFonts w:ascii="Segoe UI" w:hAnsi="Segoe UI" w:eastAsia="Segoe UI"/>
          <w:b w:val="0"/>
          <w:i/>
          <w:color w:val="000000"/>
          <w:sz w:val="21"/>
        </w:rPr>
        <w:t>или лицами без гражданства, поступающими в рамках отдельного конкурса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208"/>
        </w:trPr>
        <w:tc>
          <w:tcPr>
            <w:tcW w:type="dxa" w:w="63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384"/>
            </w:tblGrid>
            <w:tr>
              <w:trPr>
                <w:trHeight w:hRule="exact" w:val="1208"/>
              </w:trPr>
              <w:tc>
                <w:tcPr>
                  <w:tcW w:type="dxa" w:w="638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Скидки при поступлении в магистратуру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9819640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316"/>
        </w:trPr>
        <w:tc>
          <w:tcPr>
            <w:tcW w:type="dxa" w:w="1021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/>
                <w:color w:val="000000"/>
                <w:sz w:val="21"/>
              </w:rPr>
              <w:t>не распространяются</w:t>
            </w:r>
            <w:r>
              <w:rPr>
                <w:rFonts w:ascii="Segoe UI" w:hAnsi="Segoe UI" w:eastAsia="Segoe UI"/>
                <w:b w:val="0"/>
                <w:i/>
                <w:color w:val="000000"/>
                <w:sz w:val="21"/>
              </w:rPr>
              <w:t xml:space="preserve"> на обучающихся, являющихся иностранными гражданами или лицами без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125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/>
                <w:color w:val="000000"/>
                <w:sz w:val="21"/>
              </w:rPr>
              <w:t>гражданства, поступающими в рамках отдельного конкурса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1634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614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2016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для иностранных студентов при поступлении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в бакалавриат в рамках отдельного конкурса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5048250</wp:posOffset>
                        </wp:positionH>
                        <wp:positionV relativeFrom="page">
                          <wp:posOffset>1981200</wp:posOffset>
                        </wp:positionV>
                        <wp:extent cx="190500" cy="190500"/>
                        <wp:wrapNone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для иностранных студентов при поступлении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71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в магистратуру в рамках отдельного конкурса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3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5115560</wp:posOffset>
                  </wp:positionH>
                  <wp:positionV relativeFrom="page">
                    <wp:posOffset>3219450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effa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за успехи в учебе в период обучения в бакалавриате 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23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магистратуре </w:t>
            </w:r>
          </w:p>
        </w:tc>
        <w:tc>
          <w:tcPr>
            <w:tcW w:type="dxa" w:w="7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2047239</wp:posOffset>
                  </wp:positionH>
                  <wp:positionV relativeFrom="page">
                    <wp:posOffset>4457700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74" w:lineRule="auto" w:before="214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образовательным программам высшего образования – программам бакалавриата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физических и (или) юридических лиц при поступлении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(НИУ ВШЭ – Нижний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Новгород) - </w:t>
      </w: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не распространяется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 на обучающихся, являющихся иностранными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гражданами или лицами без гражданства, поступающими в рамках отдельного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конкурса</w:t>
      </w:r>
    </w:p>
    <w:p>
      <w:pPr>
        <w:autoSpaceDN w:val="0"/>
        <w:autoSpaceDE w:val="0"/>
        <w:widowControl/>
        <w:spacing w:line="274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образовательным программам высшего образования – программам магистратуры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физических и (или) юридических лиц при поступлении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(НИУ ВШЭ – Нижний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Новгород) - </w:t>
      </w: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не распространяется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 на обучающихся, являющихся иностранными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гражданами или лицами без гражданства, поступающими в рамках отдельного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конкурса</w:t>
      </w:r>
    </w:p>
    <w:p>
      <w:pPr>
        <w:autoSpaceDN w:val="0"/>
        <w:autoSpaceDE w:val="0"/>
        <w:widowControl/>
        <w:spacing w:line="259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образовательным программам высшего образования – программам бакалавриата по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физических и (или) юридических лиц при поступлении иностранных граждан и лиц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 xml:space="preserve">без гражданства в рамках отдельного конкурса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(НИУ ВШЭ – Нижний Новгород)</w:t>
      </w:r>
    </w:p>
    <w:p>
      <w:pPr>
        <w:autoSpaceDN w:val="0"/>
        <w:autoSpaceDE w:val="0"/>
        <w:widowControl/>
        <w:spacing w:line="271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образовательным программам высшего образования – программам магистратуры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физических и (или) юридических лиц при поступлении иностранных граждан и лиц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без гражданства в рамках отдельного конкурса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(НИУ ВШЭ – Нижний Новгород)</w:t>
      </w:r>
    </w:p>
    <w:p>
      <w:pPr>
        <w:autoSpaceDN w:val="0"/>
        <w:autoSpaceDE w:val="0"/>
        <w:widowControl/>
        <w:spacing w:line="271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образовательным программам высшего образования – программам бакалавриата,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магистратуры по договорам об образовании, заключаемым при приеме на обучение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за счет средств физических и (или) юридических лиц в период их обучения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– Нижний Новгород) </w:t>
      </w:r>
    </w:p>
    <w:p>
      <w:pPr>
        <w:autoSpaceDN w:val="0"/>
        <w:autoSpaceDE w:val="0"/>
        <w:widowControl/>
        <w:spacing w:line="240" w:lineRule="auto" w:before="57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Контакты</w:t>
      </w:r>
    </w:p>
    <w:p>
      <w:pPr>
        <w:autoSpaceDN w:val="0"/>
        <w:autoSpaceDE w:val="0"/>
        <w:widowControl/>
        <w:spacing w:line="257" w:lineRule="auto" w:before="21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вопросам предоставления/отмены скидок можно обращаться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учебный офис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соответствующей образовательной программы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Иностранные граждане могут обращаться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Отдел международных связей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6362700</wp:posOffset>
            </wp:positionV>
            <wp:extent cx="5080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6743700</wp:posOffset>
            </wp:positionV>
            <wp:extent cx="1346200" cy="304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7239000</wp:posOffset>
            </wp:positionV>
            <wp:extent cx="2286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38" w:lineRule="auto" w:before="9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autoSpaceDN w:val="0"/>
        <w:autoSpaceDE w:val="0"/>
        <w:widowControl/>
        <w:spacing w:line="240" w:lineRule="auto" w:before="150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8267700</wp:posOffset>
            </wp:positionV>
            <wp:extent cx="6877050" cy="201202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012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48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257056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5705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skidki_p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hse.ru/docs/1045575889.html" TargetMode="External"/><Relationship Id="rId16" Type="http://schemas.openxmlformats.org/officeDocument/2006/relationships/hyperlink" Target="https://www.hse.ru/docs/1045592163.html" TargetMode="External"/><Relationship Id="rId17" Type="http://schemas.openxmlformats.org/officeDocument/2006/relationships/hyperlink" Target="https://www.hse.ru/docs/1068100529.html" TargetMode="External"/><Relationship Id="rId18" Type="http://schemas.openxmlformats.org/officeDocument/2006/relationships/hyperlink" Target="https://www.hse.ru/docs/1125419935.html" TargetMode="External"/><Relationship Id="rId19" Type="http://schemas.openxmlformats.org/officeDocument/2006/relationships/hyperlink" Target="https://www.hse.ru/docs/1063396262.html" TargetMode="External"/><Relationship Id="rId20" Type="http://schemas.openxmlformats.org/officeDocument/2006/relationships/hyperlink" Target="https://nnov.hse.ru/uch/contacts_so" TargetMode="External"/><Relationship Id="rId21" Type="http://schemas.openxmlformats.org/officeDocument/2006/relationships/hyperlink" Target="https://nnov.hse.ru/intnn/" TargetMode="External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education/" TargetMode="External"/><Relationship Id="rId41" Type="http://schemas.openxmlformats.org/officeDocument/2006/relationships/hyperlink" Target="https://school.hse.ru/" TargetMode="External"/><Relationship Id="rId42" Type="http://schemas.openxmlformats.org/officeDocument/2006/relationships/hyperlink" Target="https://fdp.hse.ru/" TargetMode="External"/><Relationship Id="rId43" Type="http://schemas.openxmlformats.org/officeDocument/2006/relationships/hyperlink" Target="https://olymp.hse.ru/" TargetMode="External"/><Relationship Id="rId44" Type="http://schemas.openxmlformats.org/officeDocument/2006/relationships/hyperlink" Target="https://ba.hse.ru/" TargetMode="External"/><Relationship Id="rId45" Type="http://schemas.openxmlformats.org/officeDocument/2006/relationships/hyperlink" Target="https://www.hse.ru/plus" TargetMode="External"/><Relationship Id="rId46" Type="http://schemas.openxmlformats.org/officeDocument/2006/relationships/hyperlink" Target="https://ma.hse.ru/" TargetMode="External"/><Relationship Id="rId47" Type="http://schemas.openxmlformats.org/officeDocument/2006/relationships/hyperlink" Target="https://aspirantura.hse.ru/" TargetMode="External"/><Relationship Id="rId48" Type="http://schemas.openxmlformats.org/officeDocument/2006/relationships/hyperlink" Target="https://busedu.hse.ru/" TargetMode="External"/><Relationship Id="rId49" Type="http://schemas.openxmlformats.org/officeDocument/2006/relationships/hyperlink" Target="https://career.hse.ru/" TargetMode="External"/><Relationship Id="rId50" Type="http://schemas.openxmlformats.org/officeDocument/2006/relationships/hyperlink" Target="http://inc.hse.ru/" TargetMode="External"/><Relationship Id="rId51" Type="http://schemas.openxmlformats.org/officeDocument/2006/relationships/hyperlink" Target="https://dd.hse.ru/" TargetMode="External"/><Relationship Id="rId52" Type="http://schemas.openxmlformats.org/officeDocument/2006/relationships/hyperlink" Target="https://www.hse.ru/feedback" TargetMode="External"/><Relationship Id="rId53" Type="http://schemas.openxmlformats.org/officeDocument/2006/relationships/hyperlink" Target="https://www.hse.ru/science/" TargetMode="External"/><Relationship Id="rId54" Type="http://schemas.openxmlformats.org/officeDocument/2006/relationships/hyperlink" Target="https://www.hse.ru/science/centers" TargetMode="External"/><Relationship Id="rId55" Type="http://schemas.openxmlformats.org/officeDocument/2006/relationships/hyperlink" Target="https://www.hse.ru/org/projects/" TargetMode="External"/><Relationship Id="rId56" Type="http://schemas.openxmlformats.org/officeDocument/2006/relationships/hyperlink" Target="https://www.hse.ru/monitoring/" TargetMode="External"/><Relationship Id="rId57" Type="http://schemas.openxmlformats.org/officeDocument/2006/relationships/hyperlink" Target="https://www.hse.ru/science/disscoun/" TargetMode="External"/><Relationship Id="rId58" Type="http://schemas.openxmlformats.org/officeDocument/2006/relationships/hyperlink" Target="https://aspirantura.hse.ru/defence/announcements/" TargetMode="External"/><Relationship Id="rId59" Type="http://schemas.openxmlformats.org/officeDocument/2006/relationships/hyperlink" Target="https://academics.hse.ru/" TargetMode="External"/><Relationship Id="rId60" Type="http://schemas.openxmlformats.org/officeDocument/2006/relationships/hyperlink" Target="https://www.hse.ru/science/hsegrants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publications.hse.ru/" TargetMode="External"/><Relationship Id="rId63" Type="http://schemas.openxmlformats.org/officeDocument/2006/relationships/hyperlink" Target="https://library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image" Target="media/image7.png"/><Relationship Id="rId70" Type="http://schemas.openxmlformats.org/officeDocument/2006/relationships/hyperlink" Target="http://www.minobrnauki.gov.ru/" TargetMode="External"/><Relationship Id="rId71" Type="http://schemas.openxmlformats.org/officeDocument/2006/relationships/hyperlink" Target="https://edu.gov.ru/" TargetMode="External"/><Relationship Id="rId72" Type="http://schemas.openxmlformats.org/officeDocument/2006/relationships/hyperlink" Target="http://www.edu.ru/" TargetMode="External"/><Relationship Id="rId73" Type="http://schemas.openxmlformats.org/officeDocument/2006/relationships/hyperlink" Target="https://elearning.hse.ru/mooc" TargetMode="External"/><Relationship Id="rId74" Type="http://schemas.openxmlformats.org/officeDocument/2006/relationships/hyperlink" Target="https://www.hse.ru/adm/edit/edit.html?goto=%2AL3N0dWR5c3ByYXZrYS9za2lka2lfbm4%2FX3I9MzYyMjU4MTE3NzUwODE5MDYuNzU2ODc%3D%5E&amp;id=1048773583&amp;cid=20594&amp;addon_name=default&amp;newportal=1" TargetMode="External"/><Relationship Id="rId75" Type="http://schemas.openxmlformats.org/officeDocument/2006/relationships/hyperlink" Target="https://www.hse.ru/contacts.html" TargetMode="External"/><Relationship Id="rId76" Type="http://schemas.openxmlformats.org/officeDocument/2006/relationships/hyperlink" Target="https://www.hse.ru/copyright" TargetMode="External"/><Relationship Id="rId77" Type="http://schemas.openxmlformats.org/officeDocument/2006/relationships/hyperlink" Target="https://www.hse.ru/data_protection_regulation" TargetMode="External"/><Relationship Id="rId78" Type="http://schemas.openxmlformats.org/officeDocument/2006/relationships/hyperlink" Target="https://www.hse.ru/sitemap.html" TargetMode="External"/><Relationship Id="rId79" Type="http://schemas.openxmlformats.org/officeDocument/2006/relationships/hyperlink" Target="https://design.hse.ru/" TargetMode="External"/><Relationship Id="rId8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