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496"/>
        <w:ind w:left="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Скидки на оплату обучения для студентов НИУ ВШЭ-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Пермь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60"/>
        </w:trPr>
        <w:tc>
          <w:tcPr>
            <w:tcW w:type="dxa" w:w="1860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ВШЭ-Москва</w:t>
            </w:r>
          </w:p>
        </w:tc>
        <w:tc>
          <w:tcPr>
            <w:tcW w:type="dxa" w:w="3028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ВШЭ-Санкт-Петербург</w:t>
            </w:r>
          </w:p>
        </w:tc>
        <w:tc>
          <w:tcPr>
            <w:tcW w:type="dxa" w:w="3212"/>
            <w:tcBorders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t>НИУ ВШЭ-Нижний Новгород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532"/>
        </w:trPr>
        <w:tc>
          <w:tcPr>
            <w:tcW w:type="dxa" w:w="4888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888"/>
            </w:tblGrid>
            <w:tr>
              <w:trPr>
                <w:trHeight w:hRule="exact" w:val="384"/>
              </w:trPr>
              <w:tc>
                <w:tcPr>
                  <w:tcW w:type="dxa" w:w="2084"/>
                  <w:tcBorders/>
                  <w:shd w:fill="d34ea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6" w:after="0"/>
                    <w:ind w:left="0" w:right="0" w:firstLine="0"/>
                    <w:jc w:val="center"/>
                  </w:pPr>
                  <w:r>
                    <w:rPr>
                      <w:w w:val="98.52272380482067"/>
                      <w:rFonts w:ascii="Segoe UI Semibold" w:hAnsi="Segoe UI Semibold" w:eastAsia="Segoe UI Semibold"/>
                      <w:b/>
                      <w:i w:val="0"/>
                      <w:color w:val="FFFFFF"/>
                      <w:sz w:val="22"/>
                    </w:rPr>
                    <w:t>НИУ ВШЭ-Пермь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1" w:lineRule="auto" w:before="408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Предоставление скидок в НИУ ВШЭ – Пермь регулируется </w:t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D2270B"/>
          <w:sz w:val="26"/>
        </w:rPr>
        <w:hyperlink r:id="rId11" w:history="1">
          <w:r>
            <w:rPr>
              <w:rStyle w:val="Hyperlink"/>
            </w:rPr>
            <w:t>Положением о порядке и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D2270B"/>
          <w:sz w:val="26"/>
        </w:rPr>
        <w:hyperlink r:id="rId11" w:history="1">
          <w:r>
            <w:rPr>
              <w:rStyle w:val="Hyperlink"/>
            </w:rPr>
            <w:t>основаниях снижения стоимости платных образовательных услуг по</w:t>
          </w:r>
        </w:hyperlink>
      </w:r>
      <w:r>
        <w:br/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D2270B"/>
          <w:sz w:val="26"/>
        </w:rPr>
        <w:hyperlink r:id="rId11" w:history="1">
          <w:r>
            <w:rPr>
              <w:rStyle w:val="Hyperlink"/>
            </w:rPr>
            <w:t>образовательным программам высшего образования очной формы обучения для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D2270B"/>
          <w:sz w:val="26"/>
        </w:rPr>
        <w:hyperlink r:id="rId11" w:history="1">
          <w:r>
            <w:rPr>
              <w:rStyle w:val="Hyperlink"/>
            </w:rPr>
            <w:t>поступающих в НИУ ВШЭ – Пермь и студентов НИУ ВШЭ, обучающихся в НИУ ВШЭ –</w:t>
          </w:r>
        </w:hyperlink>
      </w:r>
      <w:r>
        <w:rPr>
          <w:u w:val="single" w:color="d1260a"/>
          <w:w w:val="98.07692307692307"/>
          <w:rFonts w:ascii="Segoe UI" w:hAnsi="Segoe UI" w:eastAsia="Segoe UI"/>
          <w:b w:val="0"/>
          <w:i w:val="0"/>
          <w:color w:val="D2270B"/>
          <w:sz w:val="26"/>
        </w:rPr>
        <w:hyperlink r:id="rId11" w:history="1">
          <w:r>
            <w:rPr>
              <w:rStyle w:val="Hyperlink"/>
            </w:rPr>
            <w:t>Пермь на местах по договорам об образовании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69" w:lineRule="auto" w:before="50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Положение не распространяется на студентов, являющихся иностранными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гражданами или лицами без гражданства (порядок и основания предоставления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скидок устанавливаются отдельными локальными нормативными актами НИУ ВШЭ -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Пермь).</w:t>
      </w:r>
    </w:p>
    <w:p>
      <w:pPr>
        <w:autoSpaceDN w:val="0"/>
        <w:autoSpaceDE w:val="0"/>
        <w:widowControl/>
        <w:spacing w:line="240" w:lineRule="auto" w:before="580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Виды скидок</w:t>
      </w:r>
    </w:p>
    <w:p>
      <w:pPr>
        <w:autoSpaceDN w:val="0"/>
        <w:autoSpaceDE w:val="0"/>
        <w:widowControl/>
        <w:spacing w:line="240" w:lineRule="auto" w:before="214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НИУ ВШЭ - Пермь установлены следующие виды скидок:</w:t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результатам поступления по программам бакалавриата/магистратуры;</w:t>
      </w:r>
    </w:p>
    <w:p>
      <w:pPr>
        <w:autoSpaceDN w:val="0"/>
        <w:autoSpaceDE w:val="0"/>
        <w:widowControl/>
        <w:spacing w:line="257" w:lineRule="auto" w:before="246" w:after="0"/>
        <w:ind w:left="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скидки студентам-детям работников НИУ ВШЭ и студентам-работникам НИУ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ВШЭ (кроме сотрудников, работающих на условиях внешнего совместительства);</w:t>
      </w:r>
    </w:p>
    <w:p>
      <w:pPr>
        <w:autoSpaceDN w:val="0"/>
        <w:autoSpaceDE w:val="0"/>
        <w:widowControl/>
        <w:spacing w:line="259" w:lineRule="auto" w:before="246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 результатам обучения по программам бакалавриата (студентам магистратуры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скидка по результатам обучения не предоставляется);</w:t>
      </w:r>
    </w:p>
    <w:p>
      <w:pPr>
        <w:autoSpaceDN w:val="0"/>
        <w:autoSpaceDE w:val="0"/>
        <w:widowControl/>
        <w:spacing w:line="259" w:lineRule="auto" w:before="260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 образовательных программ бакалавриата, оказавшимся в трудной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жизненной ситуации;</w:t>
      </w:r>
    </w:p>
    <w:p>
      <w:pPr>
        <w:autoSpaceDN w:val="0"/>
        <w:autoSpaceDE w:val="0"/>
        <w:widowControl/>
        <w:spacing w:line="257" w:lineRule="auto" w:before="246" w:after="0"/>
        <w:ind w:left="0" w:right="14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соответствии с местом работы родителей абитуриентов и самих абитуриентов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организациях (список организаций указан в приложении к Положению).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419100</wp:posOffset>
            </wp:positionV>
            <wp:extent cx="6502400" cy="825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825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4533900</wp:posOffset>
            </wp:positionH>
            <wp:positionV relativeFrom="page">
              <wp:posOffset>751840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1160"/>
        </w:trPr>
        <w:tc>
          <w:tcPr>
            <w:tcW w:type="dxa" w:w="6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Скидки при поступлении в бакалавриат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18" w:after="0"/>
              <w:ind w:left="0" w:right="404" w:firstLine="0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007AC5"/>
                <w:sz w:val="18"/>
              </w:rPr>
              <w:t>свернуть все</w:t>
            </w:r>
          </w:p>
        </w:tc>
      </w:tr>
      <w:tr>
        <w:trPr>
          <w:trHeight w:hRule="exact" w:val="1274"/>
        </w:trPr>
        <w:tc>
          <w:tcPr>
            <w:tcW w:type="dxa" w:w="6384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Скидки при поступлении в магистратуру </w:t>
            </w:r>
          </w:p>
        </w:tc>
        <w:tc>
          <w:tcPr>
            <w:tcW w:type="dxa" w:w="1360"/>
            <w:tcBorders/>
            <w:shd w:fill="def4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0" w:after="0"/>
              <w:ind w:left="2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4610100</wp:posOffset>
                  </wp:positionH>
                  <wp:positionV relativeFrom="page">
                    <wp:posOffset>1752600</wp:posOffset>
                  </wp:positionV>
                  <wp:extent cx="190500" cy="19050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470"/>
            <w:tcBorders/>
            <w:shd w:fill="def4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17"/>
        <w:gridCol w:w="5117"/>
      </w:tblGrid>
      <w:tr>
        <w:trPr>
          <w:trHeight w:hRule="exact" w:val="1276"/>
        </w:trPr>
        <w:tc>
          <w:tcPr>
            <w:tcW w:type="dxa" w:w="7624"/>
            <w:tcBorders/>
            <w:shd w:fill="effa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6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Скидки по результатам обучения в бакалавриате </w:t>
            </w:r>
          </w:p>
        </w:tc>
        <w:tc>
          <w:tcPr>
            <w:tcW w:type="dxa" w:w="2590"/>
            <w:tcBorders/>
            <w:shd w:fill="effa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12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5400040</wp:posOffset>
                  </wp:positionH>
                  <wp:positionV relativeFrom="page">
                    <wp:posOffset>2753360</wp:posOffset>
                  </wp:positionV>
                  <wp:extent cx="190500" cy="190500"/>
                  <wp:wrapNone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34"/>
      </w:tblGrid>
      <w:tr>
        <w:trPr>
          <w:trHeight w:hRule="exact" w:val="848"/>
        </w:trPr>
        <w:tc>
          <w:tcPr>
            <w:tcW w:type="dxa" w:w="10214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14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Скидки студентам, оказавшимся в трудной жизненной ситуации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4.00000000000006" w:type="dxa"/>
      </w:tblPr>
      <w:tblGrid>
        <w:gridCol w:w="10234"/>
      </w:tblGrid>
      <w:tr>
        <w:trPr>
          <w:trHeight w:hRule="exact" w:val="382"/>
        </w:trPr>
        <w:tc>
          <w:tcPr>
            <w:tcW w:type="dxa" w:w="5280"/>
            <w:tcBorders/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17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742950</wp:posOffset>
                  </wp:positionH>
                  <wp:positionV relativeFrom="page">
                    <wp:posOffset>3981450</wp:posOffset>
                  </wp:positionV>
                  <wp:extent cx="190500" cy="190500"/>
                  <wp:wrapNone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242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Назначение скидок</w:t>
      </w:r>
    </w:p>
    <w:p>
      <w:pPr>
        <w:autoSpaceDN w:val="0"/>
        <w:autoSpaceDE w:val="0"/>
        <w:widowControl/>
        <w:spacing w:line="274" w:lineRule="auto" w:before="21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Скидка предоставляется на основании личного заявления студента на имя директора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НИУ ВШЭ – Пермь либо иного уполномоченного должностного лица при подписании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соответствующего дополнительного соглашения/приложения к договору об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образовании (за исключением скидок за успехи в обучении). Личное заявление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подается в учебный офис программы, на которой обучается студент. К личному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заявлению прилагаются документы, подтверждающие право на получение скидки 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условия ее получения.</w:t>
      </w:r>
    </w:p>
    <w:p>
      <w:pPr>
        <w:autoSpaceDN w:val="0"/>
        <w:autoSpaceDE w:val="0"/>
        <w:widowControl/>
        <w:spacing w:line="257" w:lineRule="auto" w:before="262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Приказ о предоставлении скидки за успехи в обучении готовится учебным офисом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подписывается директором НИУ ВШЭ – Пермь либо иным уполномоченным лицом.</w:t>
      </w:r>
    </w:p>
    <w:p>
      <w:pPr>
        <w:autoSpaceDN w:val="0"/>
        <w:autoSpaceDE w:val="0"/>
        <w:widowControl/>
        <w:spacing w:line="274" w:lineRule="auto" w:before="52" w:after="0"/>
        <w:ind w:left="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Основанием для издания приказа являются документы, подтверждающие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выполнение требований на скидку в соответствии с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разделом 5 Положения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издания приказа о предоставлении скидки учебный офис готовит и заключает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соответствующее дополнительное соглашение/приложение к договору об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образовании.</w:t>
      </w:r>
    </w:p>
    <w:p>
      <w:pPr>
        <w:autoSpaceDN w:val="0"/>
        <w:autoSpaceDE w:val="0"/>
        <w:widowControl/>
        <w:spacing w:line="245" w:lineRule="auto" w:before="564" w:after="0"/>
        <w:ind w:left="0" w:right="43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Условия получения скидки по результатам обучения в</w:t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бакалавриате</w:t>
      </w:r>
    </w:p>
    <w:p>
      <w:pPr>
        <w:sectPr>
          <w:pgSz w:w="11918" w:h="16858"/>
          <w:pgMar w:top="544" w:right="828" w:bottom="5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tabs>
          <w:tab w:pos="886" w:val="left"/>
        </w:tabs>
        <w:autoSpaceDE w:val="0"/>
        <w:widowControl/>
        <w:spacing w:line="298" w:lineRule="auto" w:before="24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Скидка размером от 25 до 70% предоставляется студенту при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одновременном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выполнении всех перечисленных условий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течение предшествующего учебного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года (cтудентам полностью платных образовательных программ размер и условия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предоставления скидок за успехи в обучении необходимо уточнять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разделе 5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Положения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): 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Студент не имеет дисциплинарного взыскания в виде выговора.</w:t>
      </w:r>
    </w:p>
    <w:p>
      <w:pPr>
        <w:autoSpaceDN w:val="0"/>
        <w:tabs>
          <w:tab w:pos="624" w:val="left"/>
          <w:tab w:pos="886" w:val="left"/>
        </w:tabs>
        <w:autoSpaceDE w:val="0"/>
        <w:widowControl/>
        <w:spacing w:line="355" w:lineRule="auto" w:before="246" w:after="0"/>
        <w:ind w:left="300" w:right="1008" w:firstLine="0"/>
        <w:jc w:val="left"/>
      </w:pP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По результатам промежуточной аттестации по всем элементам учебного</w:t>
      </w:r>
      <w:r>
        <w:tab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плана (до пересдач) студент: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имеет не более двух оценок 4 и/или 5 баллов по десятибалльной шкале;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имеет оценки ниже 4 баллов по десятибалльной шкале;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имеет неявок на аттестационные испытания без уважительной причины.</w:t>
      </w:r>
    </w:p>
    <w:p>
      <w:pPr>
        <w:autoSpaceDN w:val="0"/>
        <w:autoSpaceDE w:val="0"/>
        <w:widowControl/>
        <w:spacing w:line="374" w:lineRule="auto" w:before="260" w:after="0"/>
        <w:ind w:left="300" w:right="273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Если студент по сумме двух последних текущих рейтингов входит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15% рейтинга - получает скидку в размере 70%;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25% рейтинга - получает скидку в размере 50%;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50% рейтинга - получает скидку в размере 25%.</w:t>
      </w:r>
    </w:p>
    <w:p>
      <w:pPr>
        <w:autoSpaceDN w:val="0"/>
        <w:autoSpaceDE w:val="0"/>
        <w:widowControl/>
        <w:spacing w:line="269" w:lineRule="auto" w:before="260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 летний период для определения претендентов на скидку используются текущий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рейтинг после пересдач 1 полугодия и текущий рейтинг до пересдач 2 полугодия.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осенний период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для определения претендентов на скидку используются текущие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рейтинги после пересдач 1 и 2 полугодия.</w:t>
      </w:r>
    </w:p>
    <w:p>
      <w:pPr>
        <w:autoSpaceDN w:val="0"/>
        <w:autoSpaceDE w:val="0"/>
        <w:widowControl/>
        <w:spacing w:line="269" w:lineRule="auto" w:before="262" w:after="0"/>
        <w:ind w:left="300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Студентам, у которых рейтинг после осеннего периода пересдач ухудшился, размер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установленной им в летний период скидки не изменяется. Если студент после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периода осенних пересдач получает основания для скидки, то ее предоставляют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отдельным приказом.</w:t>
      </w:r>
    </w:p>
    <w:p>
      <w:pPr>
        <w:autoSpaceDN w:val="0"/>
        <w:autoSpaceDE w:val="0"/>
        <w:widowControl/>
        <w:spacing w:line="312" w:lineRule="auto" w:before="198" w:after="0"/>
        <w:ind w:left="300" w:right="432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в осенний период скидка назначается студентам, не проходившим промежуточную аттестацию по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одной или нескольким учебным дисциплинам по уважительной причине (в 3 или 4 модулях) и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прошедшим промежуточную аттестацию по соответствующей дисциплине в период пересдач, а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также студентам, в текущий рейтинг которых до окончания периода пересдач были внесены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изменения вследствие которых эти студенты стали претендентами на скидку</w:t>
      </w:r>
    </w:p>
    <w:p>
      <w:pPr>
        <w:autoSpaceDN w:val="0"/>
        <w:autoSpaceDE w:val="0"/>
        <w:widowControl/>
        <w:spacing w:line="298" w:lineRule="auto" w:before="678" w:after="0"/>
        <w:ind w:left="300" w:right="4752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Основания для лишения скидки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 может быть лишен скидки: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74" w:lineRule="auto" w:before="24" w:after="0"/>
        <w:ind w:left="886" w:right="576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1.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Любого вида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- если ему объявлено дисциплинарное взыскание в виде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выговора за нарушение Устава НИУ ВШЭ, Положения о НИУ ВШЭ – Пермь,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Правил внутреннего распорядка обучающихся НИУ ВШЭ, Правил внутреннего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распорядка студентческого общежития НИУ ВШЭ - Пермь и иных локальных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нормативных актов по вопросам организации и осуществления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образовательной деятельности.</w:t>
      </w:r>
    </w:p>
    <w:p>
      <w:pPr>
        <w:autoSpaceDN w:val="0"/>
        <w:autoSpaceDE w:val="0"/>
        <w:widowControl/>
        <w:spacing w:line="276" w:lineRule="auto" w:before="246" w:after="0"/>
        <w:ind w:left="886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2.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Поступающим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на программы бакалавриата и магистратуры - при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несоответствии студента одному или нескольким критериям успешного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обучения, выразившееся в получении в предшествующем учебном году более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двух оценок 4 и/или 5 баллов по результатам промежуточной аттестации до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 – по 10-балльной шкале; или в получении по результатам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промежуточной аттестации (до пересдач) оценки ниже 4 баллов по</w:t>
      </w:r>
      <w:r>
        <w:br/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десятибалльной шкале; или в наличии неявок на аттестационные испытания без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уважительной причины; или предоставление студенту права повторного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изучения элемента учебного плана, завершающегося экзаменом, сдаваемым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комиссии, в статусе третьей (последней) сдачи (второй пересдачи).</w:t>
      </w:r>
    </w:p>
    <w:p>
      <w:pPr>
        <w:autoSpaceDN w:val="0"/>
        <w:autoSpaceDE w:val="0"/>
        <w:widowControl/>
        <w:spacing w:line="269" w:lineRule="auto" w:before="246" w:after="0"/>
        <w:ind w:left="886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3. 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По результатам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по программам бакалавриата - предоставление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студенту права повторного изучения элемента учебного плана, завершающегося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экзаменом, сдаваемым комиссии, в статусе третьей (последней) сдачи (второй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пересдачи).</w:t>
      </w:r>
    </w:p>
    <w:p>
      <w:pPr>
        <w:autoSpaceDN w:val="0"/>
        <w:autoSpaceDE w:val="0"/>
        <w:widowControl/>
        <w:spacing w:line="240" w:lineRule="auto" w:before="564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Скидки для иностранных студентов</w:t>
      </w:r>
    </w:p>
    <w:p>
      <w:pPr>
        <w:autoSpaceDN w:val="0"/>
        <w:autoSpaceDE w:val="0"/>
        <w:widowControl/>
        <w:spacing w:line="264" w:lineRule="auto" w:before="216" w:after="0"/>
        <w:ind w:left="300" w:right="43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Скидки предоставляются иностранным гражданам с момента зачисления в НИУ ВШЭ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 сохраняются на весь период обучения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 НИУ ВШЭ при условии соответствия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иностранных граждан критериям успешного обучения.</w:t>
      </w:r>
    </w:p>
    <w:p>
      <w:pPr>
        <w:autoSpaceDN w:val="0"/>
        <w:autoSpaceDE w:val="0"/>
        <w:widowControl/>
        <w:spacing w:line="266" w:lineRule="auto" w:before="260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Критериями успешного обучения является одновременное выполнение иностранным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гражданином следующих условий при обучении по основной образовательной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программе НИУ ВШЭ:</w:t>
      </w:r>
    </w:p>
    <w:p>
      <w:pPr>
        <w:autoSpaceDN w:val="0"/>
        <w:autoSpaceDE w:val="0"/>
        <w:widowControl/>
        <w:spacing w:line="264" w:lineRule="auto" w:before="246" w:after="0"/>
        <w:ind w:left="886" w:right="1152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1. Иностранный гражданин не имеет дисциплинарного взыскания в виде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выговора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. 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</w:t>
      </w:r>
    </w:p>
    <w:p>
      <w:pPr>
        <w:autoSpaceDN w:val="0"/>
        <w:autoSpaceDE w:val="0"/>
        <w:widowControl/>
        <w:spacing w:line="266" w:lineRule="auto" w:before="246" w:after="0"/>
        <w:ind w:left="886" w:right="864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2. По результатам каждой промежуточной аттестации, которая установлена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графиком учебного процесса за учебный год, по всем элементам учебного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плана иностранный гражданин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: </w:t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</w:t>
      </w:r>
    </w:p>
    <w:p>
      <w:pPr>
        <w:autoSpaceDN w:val="0"/>
        <w:autoSpaceDE w:val="0"/>
        <w:widowControl/>
        <w:spacing w:line="240" w:lineRule="auto" w:before="262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 имеет оценок ниже 4 баллов по 10-балльной шкале (после пересдач);</w:t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24" w:after="0"/>
        <w:ind w:left="30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— имеет не более 2 оценок 4 и/или 5 баллов по 10-балльной шкале.</w:t>
      </w:r>
    </w:p>
    <w:p>
      <w:pPr>
        <w:autoSpaceDN w:val="0"/>
        <w:autoSpaceDE w:val="0"/>
        <w:widowControl/>
        <w:spacing w:line="240" w:lineRule="auto" w:before="198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 Условие сохранения предоставленных скидок применяется к иностранным студентам, начиная со</w:t>
      </w:r>
    </w:p>
    <w:p>
      <w:pPr>
        <w:autoSpaceDN w:val="0"/>
        <w:autoSpaceDE w:val="0"/>
        <w:widowControl/>
        <w:spacing w:line="240" w:lineRule="auto" w:before="118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2-го курса и до завершения обучения по образовательной программе.</w:t>
      </w:r>
    </w:p>
    <w:p>
      <w:pPr>
        <w:autoSpaceDN w:val="0"/>
        <w:autoSpaceDE w:val="0"/>
        <w:widowControl/>
        <w:spacing w:line="240" w:lineRule="auto" w:before="31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** Условия сохранения предоставленных скидок применяются к иностранным студентам, начиная с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первой промежуточной аттестации 2-го курса и до завершения обучения по образовательной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программе и не распространяются на дисциплины 1 курса.</w:t>
      </w:r>
    </w:p>
    <w:p>
      <w:pPr>
        <w:autoSpaceDN w:val="0"/>
        <w:autoSpaceDE w:val="0"/>
        <w:widowControl/>
        <w:spacing w:line="240" w:lineRule="auto" w:before="31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Иностранному гражданину может быть установлена только одна скидка из числа указанных. При</w:t>
      </w:r>
    </w:p>
    <w:p>
      <w:pPr>
        <w:autoSpaceDN w:val="0"/>
        <w:autoSpaceDE w:val="0"/>
        <w:widowControl/>
        <w:spacing w:line="240" w:lineRule="auto" w:before="116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наличии у иностранного гражданина права на скидки нескольких видов из числа указанных ему</w:t>
      </w:r>
    </w:p>
    <w:p>
      <w:pPr>
        <w:autoSpaceDN w:val="0"/>
        <w:autoSpaceDE w:val="0"/>
        <w:widowControl/>
        <w:spacing w:line="240" w:lineRule="auto" w:before="102" w:after="0"/>
        <w:ind w:left="30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>предоставляется одна скидка по его выбору.</w:t>
      </w:r>
    </w:p>
    <w:p>
      <w:pPr>
        <w:autoSpaceDN w:val="0"/>
        <w:autoSpaceDE w:val="0"/>
        <w:widowControl/>
        <w:spacing w:line="274" w:lineRule="auto" w:before="360" w:after="702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Размер и условия предоставления скидок указаны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Положении о порядке 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основаниях снижения стоимости платных образовательных услуг по</w:t>
          </w:r>
        </w:hyperlink>
      </w:r>
      <w:r>
        <w:br/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образовательным программам высшего образования очной формы обучения для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поступающих в НИУ ВШЭ – Пермь в рамках отдельного конкурса для иностранных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граждан и лиц без гражданства и студентов НИУ ВШЭ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808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798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4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Скидки для иностранных студентов при поступлении на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0"/>
        </w:trPr>
        <w:tc>
          <w:tcPr>
            <w:tcW w:type="dxa" w:w="67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образовательные программы баклавриата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349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4819650</wp:posOffset>
                  </wp:positionH>
                  <wp:positionV relativeFrom="page">
                    <wp:posOffset>5448300</wp:posOffset>
                  </wp:positionV>
                  <wp:extent cx="190500" cy="19050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99.99999999999994" w:type="dxa"/>
      </w:tblPr>
      <w:tblGrid>
        <w:gridCol w:w="5410"/>
        <w:gridCol w:w="5410"/>
      </w:tblGrid>
      <w:tr>
        <w:trPr>
          <w:trHeight w:hRule="exact" w:val="1110"/>
        </w:trPr>
        <w:tc>
          <w:tcPr>
            <w:tcW w:type="dxa" w:w="1021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14"/>
            </w:tblGrid>
            <w:tr>
              <w:trPr>
                <w:trHeight w:hRule="exact" w:val="800"/>
              </w:trPr>
              <w:tc>
                <w:tcPr>
                  <w:tcW w:type="dxa" w:w="10214"/>
                  <w:tcBorders/>
                  <w:shd w:fill="def4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6" w:after="0"/>
                    <w:ind w:left="300" w:right="0" w:firstLine="0"/>
                    <w:jc w:val="left"/>
                  </w:pPr>
                  <w:r>
                    <w:rPr>
                      <w:rFonts w:ascii="Segoe UI Semibold" w:hAnsi="Segoe UI Semibold" w:eastAsia="Segoe UI Semibold"/>
                      <w:b/>
                      <w:i w:val="0"/>
                      <w:color w:val="007AC5"/>
                      <w:sz w:val="31"/>
                    </w:rPr>
                    <w:t>Скидки иностранным студентам при поступлении на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842"/>
        </w:trPr>
        <w:tc>
          <w:tcPr>
            <w:tcW w:type="dxa" w:w="69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>образовательные программы магистратуры</w:t>
            </w:r>
            <w:r>
              <w:rPr>
                <w:rFonts w:ascii="Segoe UI Semibold" w:hAnsi="Segoe UI Semibold" w:eastAsia="Segoe UI Semibold"/>
                <w:b/>
                <w:i w:val="0"/>
                <w:color w:val="007AC5"/>
                <w:sz w:val="31"/>
              </w:rPr>
              <w:t xml:space="preserve"> </w:t>
            </w:r>
          </w:p>
        </w:tc>
        <w:tc>
          <w:tcPr>
            <w:tcW w:type="dxa" w:w="33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4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4942840</wp:posOffset>
                  </wp:positionH>
                  <wp:positionV relativeFrom="page">
                    <wp:posOffset>6686550</wp:posOffset>
                  </wp:positionV>
                  <wp:extent cx="190500" cy="190500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82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Документы</w:t>
      </w:r>
    </w:p>
    <w:p>
      <w:pPr>
        <w:autoSpaceDN w:val="0"/>
        <w:autoSpaceDE w:val="0"/>
        <w:widowControl/>
        <w:spacing w:line="271" w:lineRule="auto" w:before="214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Положение о порядке и основаниях снижения стоимости платных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услуг по образовательным программам высшего образования очной формы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обучения для поступающих в НИУ ВШЭ – Пермь и студентов НИУ ВШЭ, обучающихся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в НИУ ВШЭ – Пермь на местах по договорам об образовании, заключаемым при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1" w:history="1">
          <w:r>
            <w:rPr>
              <w:rStyle w:val="Hyperlink"/>
            </w:rPr>
            <w:t>приеме на обучение за счет средств физических и (или) юридических лиц</w:t>
          </w:r>
        </w:hyperlink>
      </w:r>
    </w:p>
    <w:p>
      <w:pPr>
        <w:autoSpaceDN w:val="0"/>
        <w:autoSpaceDE w:val="0"/>
        <w:widowControl/>
        <w:spacing w:line="266" w:lineRule="auto" w:before="262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Положение о порядке и основаниях снижения стоимости платных образовательных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услуг по образовательным программам высшего образования очной формы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обучения для поступающих в НИУ ВШЭ – Пермь в рамках отдельного конкурса для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69" w:lineRule="auto" w:before="24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иностранных граждан и лиц без гражданства и студентов НИУ ВШЭ, являющихся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иностранными гражданами и лицами без гражданства и обучающихся в НИУ ВШЭ –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Пермь на местах по договорам об образовании, заключаемым при приеме на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обучение за счет средств физических и(или) юридических лиц</w:t>
          </w:r>
        </w:hyperlink>
      </w:r>
    </w:p>
    <w:p>
      <w:pPr>
        <w:autoSpaceDN w:val="0"/>
        <w:autoSpaceDE w:val="0"/>
        <w:widowControl/>
        <w:spacing w:line="266" w:lineRule="auto" w:before="260" w:after="0"/>
        <w:ind w:left="300" w:right="100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Порядок заключения, изменения и расторжения договоров об образовании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(договоров об оказании платных образовательных услуг) НИУ ВШЭ – Пермь по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>образовательным программам высшего образования, реализуемых в НИУ ВШЭ</w:t>
          </w:r>
        </w:hyperlink>
      </w:r>
    </w:p>
    <w:p>
      <w:pPr>
        <w:autoSpaceDN w:val="0"/>
        <w:autoSpaceDE w:val="0"/>
        <w:widowControl/>
        <w:spacing w:line="257" w:lineRule="auto" w:before="262" w:after="0"/>
        <w:ind w:left="300" w:right="288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Порядок оказания платных образовательных услуг по образовательным программам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в Национальном исследовательском университете «Высшая школа экономики»</w:t>
          </w:r>
        </w:hyperlink>
      </w:r>
    </w:p>
    <w:p>
      <w:pPr>
        <w:autoSpaceDN w:val="0"/>
        <w:autoSpaceDE w:val="0"/>
        <w:widowControl/>
        <w:spacing w:line="269" w:lineRule="auto" w:before="262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Порядок расчета стоимости обучения по договорам об образовании за счет средств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физического и (или) юридического лица при реализации программ высшего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образования в Национальном исследовательском университете «Высшая школа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>экономики»</w:t>
          </w:r>
        </w:hyperlink>
      </w:r>
    </w:p>
    <w:p>
      <w:pPr>
        <w:autoSpaceDN w:val="0"/>
        <w:autoSpaceDE w:val="0"/>
        <w:widowControl/>
        <w:spacing w:line="240" w:lineRule="auto" w:before="122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4838700</wp:posOffset>
            </wp:positionV>
            <wp:extent cx="508000" cy="2286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4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5219700</wp:posOffset>
            </wp:positionV>
            <wp:extent cx="1346200" cy="304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8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5704840</wp:posOffset>
            </wp:positionV>
            <wp:extent cx="228600" cy="228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8" w:lineRule="auto" w:before="96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2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Сведения об образовательной организации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6762750</wp:posOffset>
            </wp:positionV>
            <wp:extent cx="6877050" cy="351627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51627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5904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7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0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0" w:lineRule="auto" w:before="186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9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3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06948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069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8" w:lineRule="auto" w:before="138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1" w:history="1">
          <w:r>
            <w:rPr>
              <w:rStyle w:val="Hyperlink"/>
            </w:rPr>
            <w:t>Редактору</w:t>
          </w:r>
        </w:hyperlink>
      </w:r>
    </w:p>
    <w:p>
      <w:pPr>
        <w:autoSpaceDN w:val="0"/>
        <w:autoSpaceDE w:val="0"/>
        <w:widowControl/>
        <w:spacing w:line="269" w:lineRule="auto" w:before="72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docs/1045616622.html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www.hse.ru/docs/289429371.html" TargetMode="External"/><Relationship Id="rId16" Type="http://schemas.openxmlformats.org/officeDocument/2006/relationships/hyperlink" Target="https://www.hse.ru/docs/835695241.html" TargetMode="External"/><Relationship Id="rId17" Type="http://schemas.openxmlformats.org/officeDocument/2006/relationships/hyperlink" Target="https://www.hse.ru/docs/239587632.html" TargetMode="External"/><Relationship Id="rId18" Type="http://schemas.openxmlformats.org/officeDocument/2006/relationships/hyperlink" Target="https://www.hse.ru/docs/941197025.html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hyperlink" Target="https://www.hse.ru/org/hse/info/" TargetMode="External"/><Relationship Id="rId23" Type="http://schemas.openxmlformats.org/officeDocument/2006/relationships/hyperlink" Target="https://figures.hse.ru/" TargetMode="External"/><Relationship Id="rId24" Type="http://schemas.openxmlformats.org/officeDocument/2006/relationships/hyperlink" Target="https://www.hse.ru/orgstructure/" TargetMode="External"/><Relationship Id="rId25" Type="http://schemas.openxmlformats.org/officeDocument/2006/relationships/hyperlink" Target="https://sustainability.hse.ru/" TargetMode="External"/><Relationship Id="rId26" Type="http://schemas.openxmlformats.org/officeDocument/2006/relationships/hyperlink" Target="https://www.hse.ru/org/persons/" TargetMode="External"/><Relationship Id="rId27" Type="http://schemas.openxmlformats.org/officeDocument/2006/relationships/hyperlink" Target="https://www.hse.ru/buildinghse" TargetMode="External"/><Relationship Id="rId28" Type="http://schemas.openxmlformats.org/officeDocument/2006/relationships/hyperlink" Target="https://www.hse.ru/org/hse/aup/procurement/" TargetMode="External"/><Relationship Id="rId29" Type="http://schemas.openxmlformats.org/officeDocument/2006/relationships/hyperlink" Target="https://www.hse.ru/appeal/" TargetMode="External"/><Relationship Id="rId30" Type="http://schemas.openxmlformats.org/officeDocument/2006/relationships/hyperlink" Target="https://endowment.hse.ru/" TargetMode="External"/><Relationship Id="rId31" Type="http://schemas.openxmlformats.org/officeDocument/2006/relationships/hyperlink" Target="https://www.hse.ru/anticorruption" TargetMode="External"/><Relationship Id="rId32" Type="http://schemas.openxmlformats.org/officeDocument/2006/relationships/hyperlink" Target="https://www.hse.ru/anticorruption/information" TargetMode="External"/><Relationship Id="rId33" Type="http://schemas.openxmlformats.org/officeDocument/2006/relationships/hyperlink" Target="https://www.hse.ru/sveden/" TargetMode="External"/><Relationship Id="rId34" Type="http://schemas.openxmlformats.org/officeDocument/2006/relationships/hyperlink" Target="https://inclusive.hse.ru/" TargetMode="External"/><Relationship Id="rId35" Type="http://schemas.openxmlformats.org/officeDocument/2006/relationships/hyperlink" Target="https://pay.hse.ru/" TargetMode="External"/><Relationship Id="rId36" Type="http://schemas.openxmlformats.org/officeDocument/2006/relationships/hyperlink" Target="https://www.hse.ru/career" TargetMode="External"/><Relationship Id="rId37" Type="http://schemas.openxmlformats.org/officeDocument/2006/relationships/hyperlink" Target="https://www.hse.ru/education/" TargetMode="External"/><Relationship Id="rId38" Type="http://schemas.openxmlformats.org/officeDocument/2006/relationships/hyperlink" Target="https://school.hse.ru/" TargetMode="External"/><Relationship Id="rId39" Type="http://schemas.openxmlformats.org/officeDocument/2006/relationships/hyperlink" Target="https://fdp.hse.ru/" TargetMode="External"/><Relationship Id="rId40" Type="http://schemas.openxmlformats.org/officeDocument/2006/relationships/hyperlink" Target="https://olymp.hse.ru/" TargetMode="External"/><Relationship Id="rId41" Type="http://schemas.openxmlformats.org/officeDocument/2006/relationships/hyperlink" Target="https://ba.hse.ru/" TargetMode="External"/><Relationship Id="rId42" Type="http://schemas.openxmlformats.org/officeDocument/2006/relationships/hyperlink" Target="https://www.hse.ru/plus" TargetMode="External"/><Relationship Id="rId43" Type="http://schemas.openxmlformats.org/officeDocument/2006/relationships/hyperlink" Target="https://ma.hse.ru/" TargetMode="External"/><Relationship Id="rId44" Type="http://schemas.openxmlformats.org/officeDocument/2006/relationships/hyperlink" Target="https://aspirantura.hse.ru/" TargetMode="External"/><Relationship Id="rId45" Type="http://schemas.openxmlformats.org/officeDocument/2006/relationships/hyperlink" Target="https://busedu.hse.ru/" TargetMode="External"/><Relationship Id="rId46" Type="http://schemas.openxmlformats.org/officeDocument/2006/relationships/hyperlink" Target="https://career.hse.ru/" TargetMode="External"/><Relationship Id="rId47" Type="http://schemas.openxmlformats.org/officeDocument/2006/relationships/hyperlink" Target="http://inc.hse.ru/" TargetMode="External"/><Relationship Id="rId48" Type="http://schemas.openxmlformats.org/officeDocument/2006/relationships/hyperlink" Target="https://dd.hse.ru/" TargetMode="External"/><Relationship Id="rId49" Type="http://schemas.openxmlformats.org/officeDocument/2006/relationships/hyperlink" Target="https://www.hse.ru/feedback" TargetMode="External"/><Relationship Id="rId50" Type="http://schemas.openxmlformats.org/officeDocument/2006/relationships/hyperlink" Target="https://www.hse.ru/science/" TargetMode="External"/><Relationship Id="rId51" Type="http://schemas.openxmlformats.org/officeDocument/2006/relationships/hyperlink" Target="https://www.hse.ru/science/centers" TargetMode="External"/><Relationship Id="rId52" Type="http://schemas.openxmlformats.org/officeDocument/2006/relationships/hyperlink" Target="https://www.hse.ru/org/projects/" TargetMode="External"/><Relationship Id="rId53" Type="http://schemas.openxmlformats.org/officeDocument/2006/relationships/hyperlink" Target="https://www.hse.ru/monitoring/" TargetMode="External"/><Relationship Id="rId54" Type="http://schemas.openxmlformats.org/officeDocument/2006/relationships/hyperlink" Target="https://www.hse.ru/science/disscoun/" TargetMode="External"/><Relationship Id="rId55" Type="http://schemas.openxmlformats.org/officeDocument/2006/relationships/hyperlink" Target="https://aspirantura.hse.ru/defence/announcements/" TargetMode="External"/><Relationship Id="rId56" Type="http://schemas.openxmlformats.org/officeDocument/2006/relationships/hyperlink" Target="https://academics.hse.ru/" TargetMode="External"/><Relationship Id="rId57" Type="http://schemas.openxmlformats.org/officeDocument/2006/relationships/hyperlink" Target="https://www.hse.ru/science/hsegrants" TargetMode="External"/><Relationship Id="rId58" Type="http://schemas.openxmlformats.org/officeDocument/2006/relationships/hyperlink" Target="https://sezam.hse.ru/" TargetMode="External"/><Relationship Id="rId59" Type="http://schemas.openxmlformats.org/officeDocument/2006/relationships/hyperlink" Target="https://publications.hse.ru/" TargetMode="External"/><Relationship Id="rId60" Type="http://schemas.openxmlformats.org/officeDocument/2006/relationships/hyperlink" Target="https://library.hse.ru/" TargetMode="External"/><Relationship Id="rId61" Type="http://schemas.openxmlformats.org/officeDocument/2006/relationships/hyperlink" Target="https://id.hse.ru/" TargetMode="External"/><Relationship Id="rId62" Type="http://schemas.openxmlformats.org/officeDocument/2006/relationships/hyperlink" Target="https://bookshop.hse.ru/" TargetMode="External"/><Relationship Id="rId63" Type="http://schemas.openxmlformats.org/officeDocument/2006/relationships/hyperlink" Target="https://print.hse.ru/" TargetMode="External"/><Relationship Id="rId64" Type="http://schemas.openxmlformats.org/officeDocument/2006/relationships/hyperlink" Target="https://mc.hse.ru/" TargetMode="External"/><Relationship Id="rId65" Type="http://schemas.openxmlformats.org/officeDocument/2006/relationships/hyperlink" Target="https://www.hse.ru/science/journals" TargetMode="External"/><Relationship Id="rId66" Type="http://schemas.openxmlformats.org/officeDocument/2006/relationships/hyperlink" Target="http://www.minobrnauki.gov.ru/" TargetMode="External"/><Relationship Id="rId67" Type="http://schemas.openxmlformats.org/officeDocument/2006/relationships/hyperlink" Target="https://edu.gov.ru/" TargetMode="External"/><Relationship Id="rId68" Type="http://schemas.openxmlformats.org/officeDocument/2006/relationships/hyperlink" Target="http://www.edu.ru/" TargetMode="External"/><Relationship Id="rId69" Type="http://schemas.openxmlformats.org/officeDocument/2006/relationships/hyperlink" Target="https://elearning.hse.ru/mooc" TargetMode="External"/><Relationship Id="rId70" Type="http://schemas.openxmlformats.org/officeDocument/2006/relationships/image" Target="media/image7.png"/><Relationship Id="rId71" Type="http://schemas.openxmlformats.org/officeDocument/2006/relationships/hyperlink" Target="https://www.hse.ru/adm/edit/edit.html?goto=%2AL3N0dWR5c3ByYXZrYS9za2lka2lfcD9fcj0zNjIzMDk2MTc3NTA4MTkzOS4wMTQ5%5E&amp;id=1050275035&amp;cid=20594&amp;addon_name=default&amp;newportal=1" TargetMode="External"/><Relationship Id="rId72" Type="http://schemas.openxmlformats.org/officeDocument/2006/relationships/hyperlink" Target="https://www.hse.ru/contacts.html" TargetMode="External"/><Relationship Id="rId73" Type="http://schemas.openxmlformats.org/officeDocument/2006/relationships/hyperlink" Target="https://www.hse.ru/copyright" TargetMode="External"/><Relationship Id="rId74" Type="http://schemas.openxmlformats.org/officeDocument/2006/relationships/hyperlink" Target="https://www.hse.ru/data_protection_regulation" TargetMode="External"/><Relationship Id="rId75" Type="http://schemas.openxmlformats.org/officeDocument/2006/relationships/hyperlink" Target="https://www.hse.ru/sitemap.html" TargetMode="External"/><Relationship Id="rId76" Type="http://schemas.openxmlformats.org/officeDocument/2006/relationships/hyperlink" Target="https://design.hse.ru/" TargetMode="External"/><Relationship Id="rId7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