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2875280</wp:posOffset>
            </wp:positionV>
            <wp:extent cx="6485890" cy="690177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69017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770" w:val="left"/>
        </w:tabs>
        <w:autoSpaceDE w:val="0"/>
        <w:widowControl/>
        <w:spacing w:line="240" w:lineRule="auto" w:before="198" w:after="0"/>
        <w:ind w:left="482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38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0"/>
        <w:ind w:left="108" w:right="144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Повышение квалификации по вопросам основных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правил и инструментов работы: Информация для ППС</w:t>
      </w:r>
    </w:p>
    <w:p>
      <w:pPr>
        <w:autoSpaceDN w:val="0"/>
        <w:autoSpaceDE w:val="0"/>
        <w:widowControl/>
        <w:spacing w:line="240" w:lineRule="auto" w:before="468" w:after="8"/>
        <w:ind w:left="108" w:right="0" w:firstLine="0"/>
        <w:jc w:val="left"/>
      </w:pPr>
      <w:r>
        <w:rPr>
          <w:rFonts w:ascii="Segoe UI" w:hAnsi="Segoe UI" w:eastAsia="Segoe UI"/>
          <w:b/>
          <w:i w:val="0"/>
          <w:color w:val="0056B3"/>
          <w:sz w:val="27"/>
        </w:rPr>
        <w:hyperlink r:id="rId11" w:history="1">
          <w:r>
            <w:rPr>
              <w:rStyle w:val="Hyperlink"/>
            </w:rPr>
            <w:t>Справочник преподавателя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10346"/>
      </w:tblGrid>
      <w:tr>
        <w:trPr>
          <w:trHeight w:hRule="exact" w:val="3892"/>
        </w:trPr>
        <w:tc>
          <w:tcPr>
            <w:tcW w:type="dxa" w:w="10214"/>
            <w:tcBorders>
              <w:top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3774"/>
              </w:trPr>
              <w:tc>
                <w:tcPr>
                  <w:tcW w:type="dxa" w:w="10214"/>
                  <w:tcBorders>
                    <w:top w:sz="12.0" w:val="single" w:color="#0056B3"/>
                  </w:tcBorders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62" w:after="0"/>
                    <w:ind w:left="300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FFFFFF"/>
                      <w:sz w:val="31"/>
                    </w:rPr>
                    <w:t>Адаптационный курс для новых преподавателей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10346"/>
      </w:tblGrid>
      <w:tr>
        <w:trPr>
          <w:trHeight w:hRule="exact" w:val="4050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3580"/>
              </w:trPr>
              <w:tc>
                <w:tcPr>
                  <w:tcW w:type="dxa" w:w="10214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84" w:after="0"/>
                    <w:ind w:left="300" w:right="0" w:firstLine="0"/>
                    <w:jc w:val="left"/>
                  </w:pPr>
                  <w:r>
                    <w:rPr>
                      <w:w w:val="98.70967249716482"/>
                      <w:rFonts w:ascii="Segoe UI Semibold" w:hAnsi="Segoe UI Semibold" w:eastAsia="Segoe UI Semibold"/>
                      <w:b/>
                      <w:i w:val="0"/>
                      <w:color w:val="FFFFFF"/>
                      <w:sz w:val="31"/>
                    </w:rPr>
                    <w:t>Базовый курс преподавателя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7.99999999999997" w:type="dxa"/>
      </w:tblPr>
      <w:tblGrid>
        <w:gridCol w:w="10346"/>
      </w:tblGrid>
      <w:tr>
        <w:trPr>
          <w:trHeight w:hRule="exact" w:val="3088"/>
        </w:trPr>
        <w:tc>
          <w:tcPr>
            <w:tcW w:type="dxa" w:w="1021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378" w:after="0"/>
              <w:ind w:left="524" w:right="864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Адаптационный курс для новых преподавателей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об организации учебного процесса в Вышке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4" w:bottom="304" w:left="7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00" w:after="0"/>
        <w:ind w:left="824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Курс разработан с целью адаптации новых преподавателей и содержит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ключевую информацию, которая поможет ориентироваться в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образовательном пространстве университета.</w:t>
      </w:r>
    </w:p>
    <w:p>
      <w:pPr>
        <w:autoSpaceDN w:val="0"/>
        <w:autoSpaceDE w:val="0"/>
        <w:widowControl/>
        <w:spacing w:line="259" w:lineRule="auto" w:before="260" w:after="200"/>
        <w:ind w:left="824" w:right="129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Он состоит из шести тематических модулей, включающих навигацию по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корпоративным справочным ресурсам: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0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1. Особенности учебного процесса в НИУ ВШЭ.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8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2. Образовательные программы и департаменты.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78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3. Сопровождение учебной дисциплины.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83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4. Цифровые сервисы и средства коммуникации.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73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5. Требования к преподавателю.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60"/>
        </w:trPr>
        <w:tc>
          <w:tcPr>
            <w:tcW w:type="dxa" w:w="8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6. Инициативы преподавателя для студентов.</w:t>
            </w:r>
          </w:p>
        </w:tc>
      </w:tr>
    </w:tbl>
    <w:p>
      <w:pPr>
        <w:autoSpaceDN w:val="0"/>
        <w:autoSpaceDE w:val="0"/>
        <w:widowControl/>
        <w:spacing w:line="19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2196"/>
        </w:trPr>
        <w:tc>
          <w:tcPr>
            <w:tcW w:type="dxa" w:w="103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34" w:after="0"/>
              <w:ind w:left="632" w:right="1152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Базовый курс «Организация работы</w:t>
            </w:r>
            <w:r>
              <w:br/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преподавателя в системе поддержки учебного</w:t>
            </w:r>
            <w:r>
              <w:rPr>
                <w:rFonts w:ascii="Segoe UI Semibold" w:hAnsi="Segoe UI Semibold" w:eastAsia="Segoe UI Semibold"/>
                <w:b/>
                <w:i w:val="0"/>
                <w:color w:val="000000"/>
                <w:sz w:val="38"/>
              </w:rPr>
              <w:t>процесса Smart LMS НИУ ВШЭ»</w:t>
            </w:r>
          </w:p>
        </w:tc>
      </w:tr>
    </w:tbl>
    <w:p>
      <w:pPr>
        <w:autoSpaceDN w:val="0"/>
        <w:autoSpaceDE w:val="0"/>
        <w:widowControl/>
        <w:spacing w:line="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58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Курс можно пройти </w:t>
            </w: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4" w:history="1">
                <w:r>
                  <w:rPr>
                    <w:rStyle w:val="Hyperlink"/>
                  </w:rPr>
                  <w:t>самостоятельно</w:t>
                </w:r>
              </w:hyperlink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 на платформе Smart LMS. 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520"/>
        </w:trPr>
        <w:tc>
          <w:tcPr>
            <w:tcW w:type="dxa" w:w="98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Изучив материалы курса, преподаватели смогут: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размещать материалы на сайте дисциплины;</w:t>
            </w:r>
          </w:p>
        </w:tc>
      </w:tr>
      <w:tr>
        <w:trPr>
          <w:trHeight w:hRule="exact" w:val="49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использовать возможности планирования времени сдачи контрольных,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5410"/>
        <w:gridCol w:w="5410"/>
      </w:tblGrid>
      <w:tr>
        <w:trPr>
          <w:trHeight w:hRule="exact" w:val="470"/>
        </w:trPr>
        <w:tc>
          <w:tcPr>
            <w:tcW w:type="dxa" w:w="96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эссе, проектов и прочих дедлайнов;</w:t>
            </w:r>
          </w:p>
        </w:tc>
      </w:tr>
      <w:tr>
        <w:trPr>
          <w:trHeight w:hRule="exact" w:val="60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создавать объявления и рассылать уведомления студентам курса;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просматривать информацию о том, какие студенты записаны на курс;</w:t>
            </w:r>
          </w:p>
        </w:tc>
      </w:tr>
      <w:tr>
        <w:trPr>
          <w:trHeight w:hRule="exact" w:val="580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создавать тесты и иные контрольные мероприятия;</w:t>
            </w:r>
          </w:p>
        </w:tc>
      </w:tr>
      <w:tr>
        <w:trPr>
          <w:trHeight w:hRule="exact" w:val="514"/>
        </w:trPr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вести журнал оценок.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0" w:right="542" w:bottom="304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1.99999999999994" w:type="dxa"/>
      </w:tblPr>
      <w:tblGrid>
        <w:gridCol w:w="10820"/>
      </w:tblGrid>
      <w:tr>
        <w:trPr>
          <w:trHeight w:hRule="exact" w:val="464"/>
        </w:trPr>
        <w:tc>
          <w:tcPr>
            <w:tcW w:type="dxa" w:w="10326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632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Программа курса предусматривает несколько проверочных тестов. Для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44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получения удостоверения о повышении квалификации необходимо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398"/>
        </w:trPr>
        <w:tc>
          <w:tcPr>
            <w:tcW w:type="dxa" w:w="962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разместить внутри курса ссылку на сайт, созданный для одной из своих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608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дисциплин.</w:t>
            </w:r>
          </w:p>
        </w:tc>
      </w:tr>
    </w:tbl>
    <w:p>
      <w:pPr>
        <w:autoSpaceDN w:val="0"/>
        <w:autoSpaceDE w:val="0"/>
        <w:widowControl/>
        <w:spacing w:line="1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4"/>
        </w:trPr>
        <w:tc>
          <w:tcPr>
            <w:tcW w:type="dxa" w:w="966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во время освоения курса у преподавателей возникнут вопросы, их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4.0" w:type="dxa"/>
      </w:tblPr>
      <w:tblGrid>
        <w:gridCol w:w="10820"/>
      </w:tblGrid>
      <w:tr>
        <w:trPr>
          <w:trHeight w:hRule="exact" w:val="426"/>
        </w:trPr>
        <w:tc>
          <w:tcPr>
            <w:tcW w:type="dxa" w:w="9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20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можно задать с помощью системы обратной связи внутри курса. </w:t>
            </w:r>
          </w:p>
        </w:tc>
      </w:tr>
    </w:tbl>
    <w:p>
      <w:pPr>
        <w:autoSpaceDN w:val="0"/>
        <w:autoSpaceDE w:val="0"/>
        <w:widowControl/>
        <w:spacing w:line="240" w:lineRule="auto" w:before="188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3276600</wp:posOffset>
            </wp:positionV>
            <wp:extent cx="5080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3657600</wp:posOffset>
            </wp:positionV>
            <wp:extent cx="13462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4152900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60" w:lineRule="auto" w:before="964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22" w:lineRule="auto" w:before="200" w:after="0"/>
        <w:ind w:left="300" w:right="835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3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Довузовская подготовка</w:t>
          </w:r>
        </w:hyperlink>
      </w:r>
    </w:p>
    <w:p>
      <w:pPr>
        <w:sectPr>
          <w:pgSz w:w="11918" w:h="16858"/>
          <w:pgMar w:top="0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5038090</wp:posOffset>
            </wp:positionV>
            <wp:extent cx="6877050" cy="45698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5698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5472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6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6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handbook/studyspravka_tch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edu.hse.ru/course/view.php?id=97793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hyperlink" Target="https://www.hse.ru/orgstructure/" TargetMode="External"/><Relationship Id="rId21" Type="http://schemas.openxmlformats.org/officeDocument/2006/relationships/hyperlink" Target="https://sustainability.hse.ru/" TargetMode="External"/><Relationship Id="rId22" Type="http://schemas.openxmlformats.org/officeDocument/2006/relationships/hyperlink" Target="https://www.hse.ru/org/persons/" TargetMode="External"/><Relationship Id="rId23" Type="http://schemas.openxmlformats.org/officeDocument/2006/relationships/hyperlink" Target="https://www.hse.ru/buildinghse" TargetMode="External"/><Relationship Id="rId24" Type="http://schemas.openxmlformats.org/officeDocument/2006/relationships/hyperlink" Target="https://www.hse.ru/org/hse/aup/procurement/" TargetMode="External"/><Relationship Id="rId25" Type="http://schemas.openxmlformats.org/officeDocument/2006/relationships/hyperlink" Target="https://www.hse.ru/appeal/" TargetMode="External"/><Relationship Id="rId26" Type="http://schemas.openxmlformats.org/officeDocument/2006/relationships/hyperlink" Target="https://endowment.hse.ru/" TargetMode="External"/><Relationship Id="rId27" Type="http://schemas.openxmlformats.org/officeDocument/2006/relationships/hyperlink" Target="https://www.hse.ru/anticorruption" TargetMode="External"/><Relationship Id="rId28" Type="http://schemas.openxmlformats.org/officeDocument/2006/relationships/hyperlink" Target="https://www.hse.ru/anticorruption/information" TargetMode="External"/><Relationship Id="rId29" Type="http://schemas.openxmlformats.org/officeDocument/2006/relationships/hyperlink" Target="https://www.hse.ru/sveden/" TargetMode="External"/><Relationship Id="rId30" Type="http://schemas.openxmlformats.org/officeDocument/2006/relationships/hyperlink" Target="https://inclusive.hse.ru/" TargetMode="External"/><Relationship Id="rId31" Type="http://schemas.openxmlformats.org/officeDocument/2006/relationships/hyperlink" Target="https://pay.hse.ru/" TargetMode="External"/><Relationship Id="rId32" Type="http://schemas.openxmlformats.org/officeDocument/2006/relationships/hyperlink" Target="https://www.hse.ru/career" TargetMode="External"/><Relationship Id="rId33" Type="http://schemas.openxmlformats.org/officeDocument/2006/relationships/hyperlink" Target="https://www.hse.ru/education/" TargetMode="External"/><Relationship Id="rId34" Type="http://schemas.openxmlformats.org/officeDocument/2006/relationships/hyperlink" Target="https://school.hse.ru/" TargetMode="External"/><Relationship Id="rId35" Type="http://schemas.openxmlformats.org/officeDocument/2006/relationships/hyperlink" Target="https://fdp.hse.ru/" TargetMode="External"/><Relationship Id="rId36" Type="http://schemas.openxmlformats.org/officeDocument/2006/relationships/hyperlink" Target="https://olymp.hse.ru/" TargetMode="External"/><Relationship Id="rId37" Type="http://schemas.openxmlformats.org/officeDocument/2006/relationships/hyperlink" Target="https://ba.hse.ru/" TargetMode="External"/><Relationship Id="rId38" Type="http://schemas.openxmlformats.org/officeDocument/2006/relationships/hyperlink" Target="https://www.hse.ru/plus" TargetMode="External"/><Relationship Id="rId39" Type="http://schemas.openxmlformats.org/officeDocument/2006/relationships/hyperlink" Target="https://ma.hse.ru/" TargetMode="External"/><Relationship Id="rId40" Type="http://schemas.openxmlformats.org/officeDocument/2006/relationships/hyperlink" Target="https://aspirantura.hse.ru/" TargetMode="External"/><Relationship Id="rId41" Type="http://schemas.openxmlformats.org/officeDocument/2006/relationships/hyperlink" Target="https://busedu.hse.ru/" TargetMode="External"/><Relationship Id="rId42" Type="http://schemas.openxmlformats.org/officeDocument/2006/relationships/hyperlink" Target="https://career.hse.ru/" TargetMode="External"/><Relationship Id="rId43" Type="http://schemas.openxmlformats.org/officeDocument/2006/relationships/hyperlink" Target="http://inc.hse.ru/" TargetMode="External"/><Relationship Id="rId44" Type="http://schemas.openxmlformats.org/officeDocument/2006/relationships/hyperlink" Target="https://dd.hse.ru/" TargetMode="External"/><Relationship Id="rId45" Type="http://schemas.openxmlformats.org/officeDocument/2006/relationships/hyperlink" Target="https://www.hse.ru/feedback" TargetMode="External"/><Relationship Id="rId46" Type="http://schemas.openxmlformats.org/officeDocument/2006/relationships/hyperlink" Target="https://www.hse.ru/science/" TargetMode="External"/><Relationship Id="rId47" Type="http://schemas.openxmlformats.org/officeDocument/2006/relationships/hyperlink" Target="https://www.hse.ru/science/centers" TargetMode="External"/><Relationship Id="rId48" Type="http://schemas.openxmlformats.org/officeDocument/2006/relationships/hyperlink" Target="https://www.hse.ru/org/projects/" TargetMode="External"/><Relationship Id="rId49" Type="http://schemas.openxmlformats.org/officeDocument/2006/relationships/hyperlink" Target="https://www.hse.ru/monitoring/" TargetMode="External"/><Relationship Id="rId50" Type="http://schemas.openxmlformats.org/officeDocument/2006/relationships/hyperlink" Target="https://www.hse.ru/science/disscoun/" TargetMode="External"/><Relationship Id="rId51" Type="http://schemas.openxmlformats.org/officeDocument/2006/relationships/hyperlink" Target="https://aspirantura.hse.ru/defence/announcements/" TargetMode="External"/><Relationship Id="rId52" Type="http://schemas.openxmlformats.org/officeDocument/2006/relationships/hyperlink" Target="https://academics.hse.ru/" TargetMode="External"/><Relationship Id="rId53" Type="http://schemas.openxmlformats.org/officeDocument/2006/relationships/hyperlink" Target="https://www.hse.ru/science/hsegrants" TargetMode="External"/><Relationship Id="rId54" Type="http://schemas.openxmlformats.org/officeDocument/2006/relationships/hyperlink" Target="https://sezam.hse.ru/" TargetMode="External"/><Relationship Id="rId55" Type="http://schemas.openxmlformats.org/officeDocument/2006/relationships/hyperlink" Target="https://publications.hse.ru/" TargetMode="External"/><Relationship Id="rId56" Type="http://schemas.openxmlformats.org/officeDocument/2006/relationships/hyperlink" Target="https://library.hse.ru/" TargetMode="External"/><Relationship Id="rId57" Type="http://schemas.openxmlformats.org/officeDocument/2006/relationships/hyperlink" Target="https://id.hse.ru/" TargetMode="External"/><Relationship Id="rId58" Type="http://schemas.openxmlformats.org/officeDocument/2006/relationships/hyperlink" Target="https://bookshop.hse.ru/" TargetMode="External"/><Relationship Id="rId59" Type="http://schemas.openxmlformats.org/officeDocument/2006/relationships/hyperlink" Target="https://print.hse.ru/" TargetMode="External"/><Relationship Id="rId60" Type="http://schemas.openxmlformats.org/officeDocument/2006/relationships/hyperlink" Target="https://mc.hse.ru/" TargetMode="External"/><Relationship Id="rId61" Type="http://schemas.openxmlformats.org/officeDocument/2006/relationships/hyperlink" Target="https://www.hse.ru/science/journals" TargetMode="External"/><Relationship Id="rId62" Type="http://schemas.openxmlformats.org/officeDocument/2006/relationships/hyperlink" Target="http://www.minobrnauki.gov.ru/" TargetMode="External"/><Relationship Id="rId63" Type="http://schemas.openxmlformats.org/officeDocument/2006/relationships/hyperlink" Target="https://edu.gov.ru/" TargetMode="External"/><Relationship Id="rId64" Type="http://schemas.openxmlformats.org/officeDocument/2006/relationships/hyperlink" Target="http://www.edu.ru/" TargetMode="External"/><Relationship Id="rId65" Type="http://schemas.openxmlformats.org/officeDocument/2006/relationships/hyperlink" Target="https://elearning.hse.ru/mooc" TargetMode="External"/><Relationship Id="rId66" Type="http://schemas.openxmlformats.org/officeDocument/2006/relationships/hyperlink" Target="https://www.hse.ru/adm/edit/edit.html?goto=%2AL3N0dWR5c3ByYXZrYS9za2lsbHM%2FX3I9MzYyMzc2ODE3NzUwODIxODIuMTE3MDQ%3D%5E&amp;id=516506717&amp;cid=20594&amp;addon_name=default&amp;newportal=1" TargetMode="External"/><Relationship Id="rId67" Type="http://schemas.openxmlformats.org/officeDocument/2006/relationships/hyperlink" Target="https://www.hse.ru/contacts.html" TargetMode="External"/><Relationship Id="rId68" Type="http://schemas.openxmlformats.org/officeDocument/2006/relationships/hyperlink" Target="https://www.hse.ru/copyright" TargetMode="External"/><Relationship Id="rId69" Type="http://schemas.openxmlformats.org/officeDocument/2006/relationships/hyperlink" Target="https://www.hse.ru/data_protection_regulation" TargetMode="External"/><Relationship Id="rId70" Type="http://schemas.openxmlformats.org/officeDocument/2006/relationships/hyperlink" Target="https://www.hse.ru/sitemap.html" TargetMode="External"/><Relationship Id="rId71" Type="http://schemas.openxmlformats.org/officeDocument/2006/relationships/hyperlink" Target="https://design.hse.ru/" TargetMode="External"/><Relationship Id="rId7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