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</wp:posOffset>
            </wp:positionH>
            <wp:positionV relativeFrom="page">
              <wp:posOffset>419100</wp:posOffset>
            </wp:positionV>
            <wp:extent cx="6870700" cy="12446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70700" cy="1244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662" w:val="left"/>
        </w:tabs>
        <w:autoSpaceDE w:val="0"/>
        <w:widowControl/>
        <w:spacing w:line="240" w:lineRule="auto" w:before="198" w:after="0"/>
        <w:ind w:left="374" w:right="0" w:firstLine="0"/>
        <w:jc w:val="left"/>
      </w:pPr>
      <w:r>
        <w:rPr>
          <w:w w:val="102.00000762939455"/>
          <w:rFonts w:ascii="Segoe UI" w:hAnsi="Segoe UI" w:eastAsia="Segoe UI"/>
          <w:b w:val="0"/>
          <w:i w:val="0"/>
          <w:color w:val="FFFFFF"/>
          <w:sz w:val="20"/>
        </w:rPr>
        <w:hyperlink r:id="rId9" w:history="1">
          <w:r>
            <w:rPr>
              <w:rStyle w:val="Hyperlink"/>
            </w:rPr>
            <w:t>Высшая школа экономики</w:t>
          </w:r>
        </w:hyperlink>
      </w:r>
      <w:r>
        <w:tab/>
      </w:r>
      <w:r>
        <w:rPr>
          <w:rFonts w:ascii="Segoe UI" w:hAnsi="Segoe UI" w:eastAsia="Segoe UI"/>
          <w:b w:val="0"/>
          <w:i w:val="0"/>
          <w:color w:val="FFFFFF"/>
          <w:sz w:val="18"/>
        </w:rPr>
        <w:t>Меню</w:t>
      </w:r>
    </w:p>
    <w:p>
      <w:pPr>
        <w:autoSpaceDN w:val="0"/>
        <w:autoSpaceDE w:val="0"/>
        <w:widowControl/>
        <w:spacing w:line="240" w:lineRule="auto" w:before="162" w:after="0"/>
        <w:ind w:left="0" w:right="0" w:firstLine="0"/>
        <w:jc w:val="center"/>
      </w:pPr>
      <w:r>
        <w:rPr>
          <w:rFonts w:ascii="Segoe UI Semibold" w:hAnsi="Segoe UI Semibold" w:eastAsia="Segoe UI Semibold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Справочник учебного процесса НИУ ВШЭ</w:t>
          </w:r>
        </w:hyperlink>
      </w:r>
    </w:p>
    <w:p>
      <w:pPr>
        <w:autoSpaceDN w:val="0"/>
        <w:autoSpaceDE w:val="0"/>
        <w:widowControl/>
        <w:spacing w:line="245" w:lineRule="auto" w:before="1446" w:after="536"/>
        <w:ind w:left="0" w:right="576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Аудитории и компьютерные классы для</w:t>
      </w:r>
      <w:r>
        <w:br/>
      </w:r>
      <w:r>
        <w:rPr>
          <w:rFonts w:ascii="Segoe UI Semibold" w:hAnsi="Segoe UI Semibold" w:eastAsia="Segoe UI Semibold"/>
          <w:b/>
          <w:i w:val="0"/>
          <w:color w:val="000000"/>
          <w:sz w:val="38"/>
        </w:rPr>
        <w:t>самостоятельной работы студентов НИУ ВШЭ-Санкт-</w:t>
      </w: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Петербург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11"/>
        <w:gridCol w:w="3411"/>
        <w:gridCol w:w="3411"/>
      </w:tblGrid>
      <w:tr>
        <w:trPr>
          <w:trHeight w:hRule="exact" w:val="352"/>
        </w:trPr>
        <w:tc>
          <w:tcPr>
            <w:tcW w:type="dxa" w:w="1860"/>
            <w:tcBorders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w w:val="98.52272380482067"/>
                <w:rFonts w:ascii="Segoe UI Semibold" w:hAnsi="Segoe UI Semibold" w:eastAsia="Segoe UI Semibold"/>
                <w:b/>
                <w:i w:val="0"/>
                <w:color w:val="000000"/>
                <w:sz w:val="22"/>
              </w:rPr>
              <w:t>НИУ ВШЭ-Москва</w:t>
            </w:r>
          </w:p>
        </w:tc>
        <w:tc>
          <w:tcPr>
            <w:tcW w:type="dxa" w:w="3208"/>
            <w:tcBorders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212" w:right="0" w:firstLine="0"/>
              <w:jc w:val="left"/>
            </w:pPr>
            <w:r>
              <w:rPr>
                <w:w w:val="98.52272380482067"/>
                <w:rFonts w:ascii="Segoe UI Semibold" w:hAnsi="Segoe UI Semibold" w:eastAsia="Segoe UI Semibold"/>
                <w:b/>
                <w:i w:val="0"/>
                <w:color w:val="000000"/>
                <w:sz w:val="22"/>
              </w:rPr>
              <w:t>НИУ ВШЭ-Нижний Новгород</w:t>
            </w:r>
          </w:p>
        </w:tc>
        <w:tc>
          <w:tcPr>
            <w:tcW w:type="dxa" w:w="3346"/>
            <w:tcBorders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374" w:right="0" w:firstLine="0"/>
              <w:jc w:val="left"/>
            </w:pPr>
            <w:r>
              <w:rPr>
                <w:w w:val="98.52272380482067"/>
                <w:rFonts w:ascii="Segoe UI Semibold" w:hAnsi="Segoe UI Semibold" w:eastAsia="Segoe UI Semibold"/>
                <w:b/>
                <w:i w:val="0"/>
                <w:color w:val="FFFFFF"/>
                <w:sz w:val="22"/>
              </w:rPr>
              <w:t>НИУ ВШЭ-Санкт-Петербург</w:t>
            </w:r>
          </w:p>
        </w:tc>
      </w:tr>
    </w:tbl>
    <w:p>
      <w:pPr>
        <w:autoSpaceDN w:val="0"/>
        <w:autoSpaceDE w:val="0"/>
        <w:widowControl/>
        <w:spacing w:line="240" w:lineRule="auto" w:before="164" w:after="0"/>
        <w:ind w:left="0" w:right="0" w:firstLine="0"/>
        <w:jc w:val="left"/>
      </w:pPr>
      <w:r>
        <w:rPr>
          <w:w w:val="98.52272380482067"/>
          <w:rFonts w:ascii="Segoe UI Semibold" w:hAnsi="Segoe UI Semibold" w:eastAsia="Segoe UI Semibold"/>
          <w:b/>
          <w:i w:val="0"/>
          <w:color w:val="000000"/>
          <w:sz w:val="22"/>
        </w:rPr>
        <w:hyperlink r:id="rId11" w:history="1">
          <w:r>
            <w:rPr>
              <w:rStyle w:val="Hyperlink"/>
            </w:rPr>
            <w:t>НИУ ВШЭ-Пермь</w:t>
          </w:r>
        </w:hyperlink>
      </w:r>
    </w:p>
    <w:p>
      <w:pPr>
        <w:autoSpaceDN w:val="0"/>
        <w:autoSpaceDE w:val="0"/>
        <w:widowControl/>
        <w:spacing w:line="266" w:lineRule="auto" w:before="450" w:after="0"/>
        <w:ind w:left="0" w:right="43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Обучающимся университета разрешается использовать свободные от аудиторных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занятий помещения для самостоятельной работы и проведения внеучебных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мероприятий в установленном НИУ ВШЭ порядке.</w:t>
      </w:r>
    </w:p>
    <w:p>
      <w:pPr>
        <w:autoSpaceDN w:val="0"/>
        <w:autoSpaceDE w:val="0"/>
        <w:widowControl/>
        <w:spacing w:line="259" w:lineRule="auto" w:before="260" w:after="0"/>
        <w:ind w:left="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На территории университета обучающимся запрещается использование выделенных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для обучения аудиторий и оборудования в личных целях.</w:t>
      </w:r>
    </w:p>
    <w:p>
      <w:pPr>
        <w:autoSpaceDN w:val="0"/>
        <w:autoSpaceDE w:val="0"/>
        <w:widowControl/>
        <w:spacing w:line="240" w:lineRule="auto" w:before="568" w:after="0"/>
        <w:ind w:left="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Занятость аудиторий</w:t>
      </w:r>
    </w:p>
    <w:p>
      <w:pPr>
        <w:autoSpaceDN w:val="0"/>
        <w:autoSpaceDE w:val="0"/>
        <w:widowControl/>
        <w:spacing w:line="266" w:lineRule="auto" w:before="226" w:after="0"/>
        <w:ind w:left="0" w:right="43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Информацию о занятости аудиторий в нужном Вам здании НИУ ВШЭ-Санкт-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Петербург можно узнать в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2" w:history="1">
          <w:r>
            <w:rPr>
              <w:rStyle w:val="Hyperlink"/>
            </w:rPr>
            <w:t>приложении HSE App X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, а также на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3" w:history="1">
          <w:r>
            <w:rPr>
              <w:rStyle w:val="Hyperlink"/>
            </w:rPr>
            <w:t>портале РУЗ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, доступ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к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4" w:history="1">
          <w:r>
            <w:rPr>
              <w:rStyle w:val="Hyperlink"/>
            </w:rPr>
            <w:t>РУЗ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осуществляется только из внутренней сети НИУ ВШЭ.</w:t>
      </w:r>
    </w:p>
    <w:p>
      <w:pPr>
        <w:autoSpaceDN w:val="0"/>
        <w:autoSpaceDE w:val="0"/>
        <w:widowControl/>
        <w:spacing w:line="259" w:lineRule="auto" w:before="260" w:after="0"/>
        <w:ind w:left="0" w:right="72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С информацией о занятости зон коворкингов можно ознакомиться на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5" w:history="1">
          <w:r>
            <w:rPr>
              <w:rStyle w:val="Hyperlink"/>
            </w:rPr>
            <w:t>странице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5" w:history="1">
          <w:r>
            <w:rPr>
              <w:rStyle w:val="Hyperlink"/>
            </w:rPr>
            <w:t>библиотеки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, информация обновляется в часы работы библиотеки.</w:t>
      </w:r>
    </w:p>
    <w:p>
      <w:pPr>
        <w:autoSpaceDN w:val="0"/>
        <w:autoSpaceDE w:val="0"/>
        <w:widowControl/>
        <w:spacing w:line="240" w:lineRule="auto" w:before="260" w:after="0"/>
        <w:ind w:left="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Дополнительную информацию можно уточнить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6" w:history="1">
          <w:r>
            <w:rPr>
              <w:rStyle w:val="Hyperlink"/>
            </w:rPr>
            <w:t>через сервис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</w:t>
      </w:r>
    </w:p>
    <w:p>
      <w:pPr>
        <w:autoSpaceDN w:val="0"/>
        <w:autoSpaceDE w:val="0"/>
        <w:widowControl/>
        <w:spacing w:line="240" w:lineRule="auto" w:before="568" w:after="0"/>
        <w:ind w:left="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Помещения для самоподготовки</w:t>
      </w:r>
    </w:p>
    <w:p>
      <w:pPr>
        <w:autoSpaceDN w:val="0"/>
        <w:autoSpaceDE w:val="0"/>
        <w:widowControl/>
        <w:spacing w:line="269" w:lineRule="auto" w:before="240" w:after="0"/>
        <w:ind w:left="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Зоны коворкинга (от 3 до 12 студентов), бронь которых осуществляется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5" w:history="1">
          <w:r>
            <w:rPr>
              <w:rStyle w:val="Hyperlink"/>
            </w:rPr>
            <w:t>Библиотекой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расположены на Наб. канала Грибоедова, 123, лит. А , ауд.109 (режим работы - пн-сб: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09.00 - 21.00) и Кантемировской, 3, корп. 1, лит. А, ауд.1006,1008,1009 (режим работы -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24х7)</w:t>
      </w:r>
    </w:p>
    <w:p>
      <w:pPr>
        <w:sectPr>
          <w:pgSz w:w="11918" w:h="16858"/>
          <w:pgMar w:top="438" w:right="828" w:bottom="336" w:left="8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240" w:lineRule="auto" w:before="152" w:after="0"/>
        <w:ind w:left="30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Бронь аудиторий для мероприятий</w:t>
      </w:r>
    </w:p>
    <w:p>
      <w:pPr>
        <w:autoSpaceDN w:val="0"/>
        <w:autoSpaceDE w:val="0"/>
        <w:widowControl/>
        <w:spacing w:line="266" w:lineRule="auto" w:before="226" w:after="0"/>
        <w:ind w:left="300" w:right="576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Бронь аудиторий для проведения внеучебных мероприятий осуществляется через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сотрудника, курирующего организацию мероприятия (сотрудника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8" w:history="1">
          <w:r>
            <w:rPr>
              <w:rStyle w:val="Hyperlink"/>
            </w:rPr>
            <w:t>ЦПМП УМП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или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ответственного за внеучебную работу на факультете).</w:t>
      </w:r>
    </w:p>
    <w:p>
      <w:pPr>
        <w:autoSpaceDN w:val="0"/>
        <w:autoSpaceDE w:val="0"/>
        <w:widowControl/>
        <w:spacing w:line="257" w:lineRule="auto" w:before="262" w:after="0"/>
        <w:ind w:left="300" w:right="158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Бронь аудиторий для проведения консультаций преподавателем/учебным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ассистентом осуществляется преподавателями.</w:t>
      </w:r>
    </w:p>
    <w:p>
      <w:pPr>
        <w:autoSpaceDN w:val="0"/>
        <w:autoSpaceDE w:val="0"/>
        <w:widowControl/>
        <w:spacing w:line="240" w:lineRule="auto" w:before="570" w:after="0"/>
        <w:ind w:left="30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Документы</w:t>
      </w:r>
    </w:p>
    <w:p>
      <w:pPr>
        <w:autoSpaceDN w:val="0"/>
        <w:autoSpaceDE w:val="0"/>
        <w:widowControl/>
        <w:spacing w:line="257" w:lineRule="auto" w:before="242" w:after="0"/>
        <w:ind w:left="300" w:right="432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9" w:history="1">
          <w:r>
            <w:rPr>
              <w:rStyle w:val="Hyperlink"/>
            </w:rPr>
            <w:t>Правила внутреннего распорядка обучающихся Национального исследовательского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9" w:history="1">
          <w:r>
            <w:rPr>
              <w:rStyle w:val="Hyperlink"/>
            </w:rPr>
            <w:t>университета «Высшая школа экономики»</w:t>
          </w:r>
        </w:hyperlink>
      </w:r>
    </w:p>
    <w:p>
      <w:pPr>
        <w:autoSpaceDN w:val="0"/>
        <w:autoSpaceDE w:val="0"/>
        <w:widowControl/>
        <w:spacing w:line="240" w:lineRule="auto" w:before="570" w:after="0"/>
        <w:ind w:left="30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Контакты</w:t>
      </w:r>
    </w:p>
    <w:p>
      <w:pPr>
        <w:autoSpaceDN w:val="0"/>
        <w:autoSpaceDE w:val="0"/>
        <w:widowControl/>
        <w:spacing w:line="240" w:lineRule="auto" w:before="226" w:after="0"/>
        <w:ind w:left="300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6" w:history="1">
          <w:r>
            <w:rPr>
              <w:rStyle w:val="Hyperlink"/>
            </w:rPr>
            <w:t>Электронный сервис «Студент» - Санкт-Петербург</w:t>
          </w:r>
        </w:hyperlink>
      </w:r>
    </w:p>
    <w:p>
      <w:pPr>
        <w:autoSpaceDN w:val="0"/>
        <w:autoSpaceDE w:val="0"/>
        <w:widowControl/>
        <w:spacing w:line="259" w:lineRule="auto" w:before="260" w:after="0"/>
        <w:ind w:left="300" w:right="1296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Уважаемые студенты, просим Вас направлять заявки на бронирования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заблаговременно, заявки могут рассматриваться в течении 2-х рабочих дней.</w:t>
      </w:r>
    </w:p>
    <w:p>
      <w:pPr>
        <w:autoSpaceDN w:val="0"/>
        <w:autoSpaceDE w:val="0"/>
        <w:widowControl/>
        <w:spacing w:line="240" w:lineRule="auto" w:before="1216" w:after="0"/>
        <w:ind w:left="28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5956300</wp:posOffset>
            </wp:positionV>
            <wp:extent cx="508000" cy="2413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241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28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6337300</wp:posOffset>
            </wp:positionV>
            <wp:extent cx="1346200" cy="3175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317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90" w:after="0"/>
        <w:ind w:left="30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543560</wp:posOffset>
            </wp:positionH>
            <wp:positionV relativeFrom="page">
              <wp:posOffset>6838950</wp:posOffset>
            </wp:positionV>
            <wp:extent cx="228600" cy="2286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 xml:space="preserve">Нашли </w:t>
      </w:r>
      <w:r>
        <w:rPr>
          <w:rFonts w:ascii="Segoe UI" w:hAnsi="Segoe UI" w:eastAsia="Segoe UI"/>
          <w:b w:val="0"/>
          <w:i w:val="0"/>
          <w:color w:val="F35023"/>
          <w:sz w:val="20"/>
        </w:rPr>
        <w:t>опечатку</w:t>
      </w:r>
      <w:r>
        <w:rPr>
          <w:rFonts w:ascii="Segoe UI" w:hAnsi="Segoe UI" w:eastAsia="Segoe UI"/>
          <w:b w:val="0"/>
          <w:i w:val="0"/>
          <w:color w:val="000000"/>
          <w:sz w:val="20"/>
        </w:rPr>
        <w:t>?</w:t>
      </w:r>
    </w:p>
    <w:p>
      <w:pPr>
        <w:autoSpaceDN w:val="0"/>
        <w:autoSpaceDE w:val="0"/>
        <w:widowControl/>
        <w:spacing w:line="240" w:lineRule="auto" w:before="52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Выделите её, нажмите Ctrl+Enter и отправьте нам уведомление. Спасибо за участие!</w:t>
      </w:r>
    </w:p>
    <w:p>
      <w:pPr>
        <w:autoSpaceDN w:val="0"/>
        <w:autoSpaceDE w:val="0"/>
        <w:widowControl/>
        <w:spacing w:line="240" w:lineRule="auto" w:before="36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Сервис предназначен только для отправки сообщений об орфографических и пунктуационных ошибках.</w:t>
      </w:r>
    </w:p>
    <w:p>
      <w:pPr>
        <w:autoSpaceDN w:val="0"/>
        <w:autoSpaceDE w:val="0"/>
        <w:widowControl/>
        <w:spacing w:line="348" w:lineRule="auto" w:before="978" w:after="0"/>
        <w:ind w:left="300" w:right="7488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23" w:history="1">
          <w:r>
            <w:rPr>
              <w:rStyle w:val="Hyperlink"/>
            </w:rPr>
            <w:t>О ВЫШКЕ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4" w:history="1">
          <w:r>
            <w:rPr>
              <w:rStyle w:val="Hyperlink"/>
            </w:rPr>
            <w:t>Цифры и факты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5" w:history="1">
          <w:r>
            <w:rPr>
              <w:rStyle w:val="Hyperlink"/>
            </w:rPr>
            <w:t>Руководство и структура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6" w:history="1">
          <w:r>
            <w:rPr>
              <w:rStyle w:val="Hyperlink"/>
            </w:rPr>
            <w:t>Устойчивое развитие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7" w:history="1">
          <w:r>
            <w:rPr>
              <w:rStyle w:val="Hyperlink"/>
            </w:rPr>
            <w:t>Преподаватели и сотрудники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8" w:history="1">
          <w:r>
            <w:rPr>
              <w:rStyle w:val="Hyperlink"/>
            </w:rPr>
            <w:t>Корпуса и общежития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9" w:history="1">
          <w:r>
            <w:rPr>
              <w:rStyle w:val="Hyperlink"/>
            </w:rPr>
            <w:t>Закупки</w:t>
          </w:r>
        </w:hyperlink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7981950</wp:posOffset>
            </wp:positionV>
            <wp:extent cx="6877050" cy="2297639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229763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53" w:lineRule="auto" w:before="18" w:after="0"/>
        <w:ind w:left="300" w:right="2448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0" w:history="1">
          <w:r>
            <w:rPr>
              <w:rStyle w:val="Hyperlink"/>
            </w:rPr>
            <w:t>Обращения граждан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1" w:history="1">
          <w:r>
            <w:rPr>
              <w:rStyle w:val="Hyperlink"/>
            </w:rPr>
            <w:t>Фонд целевого капитала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2" w:history="1">
          <w:r>
            <w:rPr>
              <w:rStyle w:val="Hyperlink"/>
            </w:rPr>
            <w:t>Противодействие коррупции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3" w:history="1">
          <w:r>
            <w:rPr>
              <w:rStyle w:val="Hyperlink"/>
            </w:rPr>
            <w:t>Сведения о доходах, расходах, об имуществе и обязательствах имущественного характера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4" w:history="1">
          <w:r>
            <w:rPr>
              <w:rStyle w:val="Hyperlink"/>
            </w:rPr>
            <w:t>Сведения об образовательной организации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5" w:history="1">
          <w:r>
            <w:rPr>
              <w:rStyle w:val="Hyperlink"/>
            </w:rPr>
            <w:t>Людям с ограниченными возможностями здоровья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6" w:history="1">
          <w:r>
            <w:rPr>
              <w:rStyle w:val="Hyperlink"/>
            </w:rPr>
            <w:t>Единая платежная страница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7" w:history="1">
          <w:r>
            <w:rPr>
              <w:rStyle w:val="Hyperlink"/>
            </w:rPr>
            <w:t>Работа в Вышке</w:t>
          </w:r>
        </w:hyperlink>
      </w:r>
    </w:p>
    <w:p>
      <w:pPr>
        <w:autoSpaceDN w:val="0"/>
        <w:autoSpaceDE w:val="0"/>
        <w:widowControl/>
        <w:spacing w:line="358" w:lineRule="auto" w:before="200" w:after="0"/>
        <w:ind w:left="300" w:right="5472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38" w:history="1">
          <w:r>
            <w:rPr>
              <w:rStyle w:val="Hyperlink"/>
            </w:rPr>
            <w:t>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9" w:history="1">
          <w:r>
            <w:rPr>
              <w:rStyle w:val="Hyperlink"/>
            </w:rPr>
            <w:t>Лицей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0" w:history="1">
          <w:r>
            <w:rPr>
              <w:rStyle w:val="Hyperlink"/>
            </w:rPr>
            <w:t>Довузовская подготовка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1" w:history="1">
          <w:r>
            <w:rPr>
              <w:rStyle w:val="Hyperlink"/>
            </w:rPr>
            <w:t>Олимпиады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2" w:history="1">
          <w:r>
            <w:rPr>
              <w:rStyle w:val="Hyperlink"/>
            </w:rPr>
            <w:t>Прием в бакалавриат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3" w:history="1">
          <w:r>
            <w:rPr>
              <w:rStyle w:val="Hyperlink"/>
            </w:rPr>
            <w:t>Вышка+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4" w:history="1">
          <w:r>
            <w:rPr>
              <w:rStyle w:val="Hyperlink"/>
            </w:rPr>
            <w:t>Прием в магистратуру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5" w:history="1">
          <w:r>
            <w:rPr>
              <w:rStyle w:val="Hyperlink"/>
            </w:rPr>
            <w:t>Аспирантура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6" w:history="1">
          <w:r>
            <w:rPr>
              <w:rStyle w:val="Hyperlink"/>
            </w:rPr>
            <w:t>Дополнительное 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7" w:history="1">
          <w:r>
            <w:rPr>
              <w:rStyle w:val="Hyperlink"/>
            </w:rPr>
            <w:t>Центр развития карьеры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8" w:history="1">
          <w:r>
            <w:rPr>
              <w:rStyle w:val="Hyperlink"/>
            </w:rPr>
            <w:t>Бизнес-инкубатор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9" w:history="1">
          <w:r>
            <w:rPr>
              <w:rStyle w:val="Hyperlink"/>
            </w:rPr>
            <w:t>Образовательные партнерства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0" w:history="1">
          <w:r>
            <w:rPr>
              <w:rStyle w:val="Hyperlink"/>
            </w:rPr>
            <w:t>Обратная связь и взаимодействие с получателями услуг</w:t>
          </w:r>
        </w:hyperlink>
      </w:r>
    </w:p>
    <w:p>
      <w:pPr>
        <w:autoSpaceDN w:val="0"/>
        <w:autoSpaceDE w:val="0"/>
        <w:widowControl/>
        <w:spacing w:line="353" w:lineRule="auto" w:before="200" w:after="0"/>
        <w:ind w:left="300" w:right="648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51" w:history="1">
          <w:r>
            <w:rPr>
              <w:rStyle w:val="Hyperlink"/>
            </w:rPr>
            <w:t>НАУКА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2" w:history="1">
          <w:r>
            <w:rPr>
              <w:rStyle w:val="Hyperlink"/>
            </w:rPr>
            <w:t>Научные подразделения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3" w:history="1">
          <w:r>
            <w:rPr>
              <w:rStyle w:val="Hyperlink"/>
            </w:rPr>
            <w:t>Исследовательские проекты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4" w:history="1">
          <w:r>
            <w:rPr>
              <w:rStyle w:val="Hyperlink"/>
            </w:rPr>
            <w:t>Мониторинги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5" w:history="1">
          <w:r>
            <w:rPr>
              <w:rStyle w:val="Hyperlink"/>
            </w:rPr>
            <w:t>Диссертационные советы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6" w:history="1">
          <w:r>
            <w:rPr>
              <w:rStyle w:val="Hyperlink"/>
            </w:rPr>
            <w:t>Защиты диссертаций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7" w:history="1">
          <w:r>
            <w:rPr>
              <w:rStyle w:val="Hyperlink"/>
            </w:rPr>
            <w:t>Академическое развитие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8" w:history="1">
          <w:r>
            <w:rPr>
              <w:rStyle w:val="Hyperlink"/>
            </w:rPr>
            <w:t>Конкурсы и гранты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9" w:history="1">
          <w:r>
            <w:rPr>
              <w:rStyle w:val="Hyperlink"/>
            </w:rPr>
            <w:t>Внешние научно-информационные ресурсы</w:t>
          </w:r>
        </w:hyperlink>
      </w:r>
    </w:p>
    <w:p>
      <w:pPr>
        <w:autoSpaceDN w:val="0"/>
        <w:autoSpaceDE w:val="0"/>
        <w:widowControl/>
        <w:spacing w:line="353" w:lineRule="auto" w:before="200" w:after="0"/>
        <w:ind w:left="300" w:right="7776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60" w:history="1">
          <w:r>
            <w:rPr>
              <w:rStyle w:val="Hyperlink"/>
            </w:rPr>
            <w:t>РЕСУРСЫ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1" w:history="1">
          <w:r>
            <w:rPr>
              <w:rStyle w:val="Hyperlink"/>
            </w:rPr>
            <w:t>Библиотека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2" w:history="1">
          <w:r>
            <w:rPr>
              <w:rStyle w:val="Hyperlink"/>
            </w:rPr>
            <w:t>Издательский дом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3" w:history="1">
          <w:r>
            <w:rPr>
              <w:rStyle w:val="Hyperlink"/>
            </w:rPr>
            <w:t>Книжный магазин «БукВышка»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4" w:history="1">
          <w:r>
            <w:rPr>
              <w:rStyle w:val="Hyperlink"/>
            </w:rPr>
            <w:t>Типография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5" w:history="1">
          <w:r>
            <w:rPr>
              <w:rStyle w:val="Hyperlink"/>
            </w:rPr>
            <w:t>Медиацентр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6" w:history="1">
          <w:r>
            <w:rPr>
              <w:rStyle w:val="Hyperlink"/>
            </w:rPr>
            <w:t>Журналы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0" w:history="1">
          <w:r>
            <w:rPr>
              <w:rStyle w:val="Hyperlink"/>
            </w:rPr>
            <w:t>Публикации</w:t>
          </w:r>
        </w:hyperlink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421640</wp:posOffset>
            </wp:positionV>
            <wp:extent cx="6877050" cy="2284945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228494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38" w:lineRule="auto" w:before="22" w:after="0"/>
        <w:ind w:left="300" w:right="6048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ПОЛЕЗНЫЕ ССЫЛКИ</w:t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8" w:history="1">
          <w:r>
            <w:rPr>
              <w:rStyle w:val="Hyperlink"/>
            </w:rPr>
            <w:t>Министерство науки и высшего образования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9" w:history="1">
          <w:r>
            <w:rPr>
              <w:rStyle w:val="Hyperlink"/>
            </w:rPr>
            <w:t>Министерство просвещения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0" w:history="1">
          <w:r>
            <w:rPr>
              <w:rStyle w:val="Hyperlink"/>
            </w:rPr>
            <w:t>Федеральный портал «Российское образование»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1" w:history="1">
          <w:r>
            <w:rPr>
              <w:rStyle w:val="Hyperlink"/>
            </w:rPr>
            <w:t>Массовые открытые онлайн-курсы</w:t>
          </w:r>
        </w:hyperlink>
      </w:r>
    </w:p>
    <w:p>
      <w:pPr>
        <w:autoSpaceDN w:val="0"/>
        <w:autoSpaceDE w:val="0"/>
        <w:widowControl/>
        <w:spacing w:line="281" w:lineRule="auto" w:before="166" w:after="0"/>
        <w:ind w:left="300" w:right="432" w:firstLine="0"/>
        <w:jc w:val="left"/>
      </w:pPr>
      <w:r>
        <w:rPr>
          <w:rFonts w:ascii="Segoe UI" w:hAnsi="Segoe UI" w:eastAsia="Segoe UI"/>
          <w:b w:val="0"/>
          <w:i w:val="0"/>
          <w:color w:val="AAAAAA"/>
          <w:sz w:val="15"/>
        </w:rPr>
        <w:hyperlink r:id="rId72" w:history="1">
          <w:r>
            <w:rPr>
              <w:rStyle w:val="Hyperlink"/>
            </w:rPr>
            <w:t>Редактору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>© НИУ ВШЭ 1993–2026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3" w:history="1">
          <w:r>
            <w:rPr>
              <w:rStyle w:val="Hyperlink"/>
            </w:rPr>
            <w:t>Адреса и контакты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4" w:history="1">
          <w:r>
            <w:rPr>
              <w:rStyle w:val="Hyperlink"/>
            </w:rPr>
            <w:t>Условия использования материалов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5" w:history="1">
          <w:r>
            <w:rPr>
              <w:rStyle w:val="Hyperlink"/>
            </w:rPr>
            <w:t>Политика конфиденциальности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6" w:history="1">
          <w:r>
            <w:rPr>
              <w:rStyle w:val="Hyperlink"/>
            </w:rPr>
            <w:t>Карта сайта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 xml:space="preserve">Шрифты HSE Sans и HSE Slab разработаны в 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7" w:history="1">
          <w:r>
            <w:rPr>
              <w:rStyle w:val="Hyperlink"/>
            </w:rPr>
            <w:t>Школе дизайна НИУ ВШЭ</w:t>
          </w:r>
        </w:hyperlink>
      </w:r>
    </w:p>
    <w:sectPr w:rsidR="00FC693F" w:rsidRPr="0006063C" w:rsidSect="00034616">
      <w:pgSz w:w="11918" w:h="16858"/>
      <w:pgMar w:top="338" w:right="542" w:bottom="344" w:left="55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hse.ru/" TargetMode="External"/><Relationship Id="rId10" Type="http://schemas.openxmlformats.org/officeDocument/2006/relationships/hyperlink" Target="https://www.hse.ru/studyspravka" TargetMode="External"/><Relationship Id="rId11" Type="http://schemas.openxmlformats.org/officeDocument/2006/relationships/hyperlink" Target="https://www.hse.ru/studyspravka/uchprocess_p" TargetMode="External"/><Relationship Id="rId12" Type="http://schemas.openxmlformats.org/officeDocument/2006/relationships/hyperlink" Target="https://istudents.hse.ru/mobileapp" TargetMode="External"/><Relationship Id="rId13" Type="http://schemas.openxmlformats.org/officeDocument/2006/relationships/hyperlink" Target="http://ruz.hse.ru/ruz/auditory" TargetMode="External"/><Relationship Id="rId14" Type="http://schemas.openxmlformats.org/officeDocument/2006/relationships/hyperlink" Target="https://ruz.hse.ru/ruz/main" TargetMode="External"/><Relationship Id="rId15" Type="http://schemas.openxmlformats.org/officeDocument/2006/relationships/hyperlink" Target="https://spb.hse.ru/library/teamwork" TargetMode="External"/><Relationship Id="rId16" Type="http://schemas.openxmlformats.org/officeDocument/2006/relationships/hyperlink" Target="https://pmo.hse.ru/servicedesk/customer/portal/179/create/3289" TargetMode="External"/><Relationship Id="rId17" Type="http://schemas.openxmlformats.org/officeDocument/2006/relationships/image" Target="media/image1.png"/><Relationship Id="rId18" Type="http://schemas.openxmlformats.org/officeDocument/2006/relationships/hyperlink" Target="https://spb.hse.ru/aup/youthpolicy/ypc/eventplan" TargetMode="External"/><Relationship Id="rId19" Type="http://schemas.openxmlformats.org/officeDocument/2006/relationships/hyperlink" Target="https://www.hse.ru/docs/187025700.html" TargetMode="External"/><Relationship Id="rId20" Type="http://schemas.openxmlformats.org/officeDocument/2006/relationships/image" Target="media/image2.png"/><Relationship Id="rId21" Type="http://schemas.openxmlformats.org/officeDocument/2006/relationships/image" Target="media/image3.png"/><Relationship Id="rId22" Type="http://schemas.openxmlformats.org/officeDocument/2006/relationships/image" Target="media/image4.png"/><Relationship Id="rId23" Type="http://schemas.openxmlformats.org/officeDocument/2006/relationships/hyperlink" Target="https://www.hse.ru/org/hse/info/" TargetMode="External"/><Relationship Id="rId24" Type="http://schemas.openxmlformats.org/officeDocument/2006/relationships/hyperlink" Target="https://figures.hse.ru/" TargetMode="External"/><Relationship Id="rId25" Type="http://schemas.openxmlformats.org/officeDocument/2006/relationships/hyperlink" Target="https://www.hse.ru/orgstructure/" TargetMode="External"/><Relationship Id="rId26" Type="http://schemas.openxmlformats.org/officeDocument/2006/relationships/hyperlink" Target="https://sustainability.hse.ru/" TargetMode="External"/><Relationship Id="rId27" Type="http://schemas.openxmlformats.org/officeDocument/2006/relationships/hyperlink" Target="https://www.hse.ru/org/persons/" TargetMode="External"/><Relationship Id="rId28" Type="http://schemas.openxmlformats.org/officeDocument/2006/relationships/hyperlink" Target="https://www.hse.ru/buildinghse" TargetMode="External"/><Relationship Id="rId29" Type="http://schemas.openxmlformats.org/officeDocument/2006/relationships/hyperlink" Target="https://www.hse.ru/org/hse/aup/procurement/" TargetMode="External"/><Relationship Id="rId30" Type="http://schemas.openxmlformats.org/officeDocument/2006/relationships/hyperlink" Target="https://www.hse.ru/appeal/" TargetMode="External"/><Relationship Id="rId31" Type="http://schemas.openxmlformats.org/officeDocument/2006/relationships/hyperlink" Target="https://endowment.hse.ru/" TargetMode="External"/><Relationship Id="rId32" Type="http://schemas.openxmlformats.org/officeDocument/2006/relationships/hyperlink" Target="https://www.hse.ru/anticorruption" TargetMode="External"/><Relationship Id="rId33" Type="http://schemas.openxmlformats.org/officeDocument/2006/relationships/hyperlink" Target="https://www.hse.ru/anticorruption/information" TargetMode="External"/><Relationship Id="rId34" Type="http://schemas.openxmlformats.org/officeDocument/2006/relationships/hyperlink" Target="https://www.hse.ru/sveden/" TargetMode="External"/><Relationship Id="rId35" Type="http://schemas.openxmlformats.org/officeDocument/2006/relationships/hyperlink" Target="https://inclusive.hse.ru/" TargetMode="External"/><Relationship Id="rId36" Type="http://schemas.openxmlformats.org/officeDocument/2006/relationships/hyperlink" Target="https://pay.hse.ru/" TargetMode="External"/><Relationship Id="rId37" Type="http://schemas.openxmlformats.org/officeDocument/2006/relationships/hyperlink" Target="https://www.hse.ru/career" TargetMode="External"/><Relationship Id="rId38" Type="http://schemas.openxmlformats.org/officeDocument/2006/relationships/hyperlink" Target="https://www.hse.ru/education/" TargetMode="External"/><Relationship Id="rId39" Type="http://schemas.openxmlformats.org/officeDocument/2006/relationships/hyperlink" Target="https://school.hse.ru/" TargetMode="External"/><Relationship Id="rId40" Type="http://schemas.openxmlformats.org/officeDocument/2006/relationships/hyperlink" Target="https://fdp.hse.ru/" TargetMode="External"/><Relationship Id="rId41" Type="http://schemas.openxmlformats.org/officeDocument/2006/relationships/hyperlink" Target="https://olymp.hse.ru/" TargetMode="External"/><Relationship Id="rId42" Type="http://schemas.openxmlformats.org/officeDocument/2006/relationships/hyperlink" Target="https://ba.hse.ru/" TargetMode="External"/><Relationship Id="rId43" Type="http://schemas.openxmlformats.org/officeDocument/2006/relationships/hyperlink" Target="https://www.hse.ru/plus" TargetMode="External"/><Relationship Id="rId44" Type="http://schemas.openxmlformats.org/officeDocument/2006/relationships/hyperlink" Target="https://ma.hse.ru/" TargetMode="External"/><Relationship Id="rId45" Type="http://schemas.openxmlformats.org/officeDocument/2006/relationships/hyperlink" Target="https://aspirantura.hse.ru/" TargetMode="External"/><Relationship Id="rId46" Type="http://schemas.openxmlformats.org/officeDocument/2006/relationships/hyperlink" Target="https://busedu.hse.ru/" TargetMode="External"/><Relationship Id="rId47" Type="http://schemas.openxmlformats.org/officeDocument/2006/relationships/hyperlink" Target="https://career.hse.ru/" TargetMode="External"/><Relationship Id="rId48" Type="http://schemas.openxmlformats.org/officeDocument/2006/relationships/hyperlink" Target="http://inc.hse.ru/" TargetMode="External"/><Relationship Id="rId49" Type="http://schemas.openxmlformats.org/officeDocument/2006/relationships/hyperlink" Target="https://dd.hse.ru/" TargetMode="External"/><Relationship Id="rId50" Type="http://schemas.openxmlformats.org/officeDocument/2006/relationships/hyperlink" Target="https://www.hse.ru/feedback" TargetMode="External"/><Relationship Id="rId51" Type="http://schemas.openxmlformats.org/officeDocument/2006/relationships/hyperlink" Target="https://www.hse.ru/science/" TargetMode="External"/><Relationship Id="rId52" Type="http://schemas.openxmlformats.org/officeDocument/2006/relationships/hyperlink" Target="https://www.hse.ru/science/centers" TargetMode="External"/><Relationship Id="rId53" Type="http://schemas.openxmlformats.org/officeDocument/2006/relationships/hyperlink" Target="https://www.hse.ru/org/projects/" TargetMode="External"/><Relationship Id="rId54" Type="http://schemas.openxmlformats.org/officeDocument/2006/relationships/hyperlink" Target="https://www.hse.ru/monitoring/" TargetMode="External"/><Relationship Id="rId55" Type="http://schemas.openxmlformats.org/officeDocument/2006/relationships/hyperlink" Target="https://www.hse.ru/science/disscoun/" TargetMode="External"/><Relationship Id="rId56" Type="http://schemas.openxmlformats.org/officeDocument/2006/relationships/hyperlink" Target="https://aspirantura.hse.ru/defence/announcements/" TargetMode="External"/><Relationship Id="rId57" Type="http://schemas.openxmlformats.org/officeDocument/2006/relationships/hyperlink" Target="https://academics.hse.ru/" TargetMode="External"/><Relationship Id="rId58" Type="http://schemas.openxmlformats.org/officeDocument/2006/relationships/hyperlink" Target="https://www.hse.ru/science/hsegrants" TargetMode="External"/><Relationship Id="rId59" Type="http://schemas.openxmlformats.org/officeDocument/2006/relationships/hyperlink" Target="https://sezam.hse.ru/" TargetMode="External"/><Relationship Id="rId60" Type="http://schemas.openxmlformats.org/officeDocument/2006/relationships/hyperlink" Target="https://publications.hse.ru/" TargetMode="External"/><Relationship Id="rId61" Type="http://schemas.openxmlformats.org/officeDocument/2006/relationships/hyperlink" Target="https://library.hse.ru/" TargetMode="External"/><Relationship Id="rId62" Type="http://schemas.openxmlformats.org/officeDocument/2006/relationships/hyperlink" Target="https://id.hse.ru/" TargetMode="External"/><Relationship Id="rId63" Type="http://schemas.openxmlformats.org/officeDocument/2006/relationships/hyperlink" Target="https://bookshop.hse.ru/" TargetMode="External"/><Relationship Id="rId64" Type="http://schemas.openxmlformats.org/officeDocument/2006/relationships/hyperlink" Target="https://print.hse.ru/" TargetMode="External"/><Relationship Id="rId65" Type="http://schemas.openxmlformats.org/officeDocument/2006/relationships/hyperlink" Target="https://mc.hse.ru/" TargetMode="External"/><Relationship Id="rId66" Type="http://schemas.openxmlformats.org/officeDocument/2006/relationships/hyperlink" Target="https://www.hse.ru/science/journals" TargetMode="External"/><Relationship Id="rId67" Type="http://schemas.openxmlformats.org/officeDocument/2006/relationships/image" Target="media/image5.png"/><Relationship Id="rId68" Type="http://schemas.openxmlformats.org/officeDocument/2006/relationships/hyperlink" Target="http://www.minobrnauki.gov.ru/" TargetMode="External"/><Relationship Id="rId69" Type="http://schemas.openxmlformats.org/officeDocument/2006/relationships/hyperlink" Target="https://edu.gov.ru/" TargetMode="External"/><Relationship Id="rId70" Type="http://schemas.openxmlformats.org/officeDocument/2006/relationships/hyperlink" Target="http://www.edu.ru/" TargetMode="External"/><Relationship Id="rId71" Type="http://schemas.openxmlformats.org/officeDocument/2006/relationships/hyperlink" Target="https://elearning.hse.ru/mooc" TargetMode="External"/><Relationship Id="rId72" Type="http://schemas.openxmlformats.org/officeDocument/2006/relationships/hyperlink" Target="https://www.hse.ru/adm/edit/edit.html?goto=%2AL3N0dWR5c3ByYXZrYS91Y2hwcm9jZXNzX3NwYj9fcj0zNjIzODIyMTc3NTA4MjAwMi4xMDc1Ng%3D%3D%5E&amp;id=1070570386&amp;cid=20594&amp;addon_name=default&amp;newportal=1" TargetMode="External"/><Relationship Id="rId73" Type="http://schemas.openxmlformats.org/officeDocument/2006/relationships/hyperlink" Target="https://www.hse.ru/contacts.html" TargetMode="External"/><Relationship Id="rId74" Type="http://schemas.openxmlformats.org/officeDocument/2006/relationships/hyperlink" Target="https://www.hse.ru/copyright" TargetMode="External"/><Relationship Id="rId75" Type="http://schemas.openxmlformats.org/officeDocument/2006/relationships/hyperlink" Target="https://www.hse.ru/data_protection_regulation" TargetMode="External"/><Relationship Id="rId76" Type="http://schemas.openxmlformats.org/officeDocument/2006/relationships/hyperlink" Target="https://www.hse.ru/sitemap.html" TargetMode="External"/><Relationship Id="rId77" Type="http://schemas.openxmlformats.org/officeDocument/2006/relationships/hyperlink" Target="https://design.hse.ru/" TargetMode="External"/><Relationship Id="rId7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